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 w:val="right" w:pos="8844"/>
        </w:tabs>
        <w:jc w:val="center"/>
        <w:rPr>
          <w:rFonts w:cs="方正小标宋简体" w:asciiTheme="majorEastAsia" w:hAnsiTheme="majorEastAsia" w:eastAsiaTheme="majorEastAsia"/>
          <w:b/>
          <w:sz w:val="48"/>
          <w:szCs w:val="48"/>
        </w:rPr>
      </w:pPr>
      <w:r>
        <w:rPr>
          <w:rFonts w:hint="eastAsia" w:cs="方正小标宋简体" w:asciiTheme="majorEastAsia" w:hAnsiTheme="majorEastAsia" w:eastAsiaTheme="majorEastAsia"/>
          <w:b/>
          <w:sz w:val="48"/>
          <w:szCs w:val="48"/>
        </w:rPr>
        <w:t>勉县人民政府</w:t>
      </w:r>
    </w:p>
    <w:p>
      <w:pPr>
        <w:tabs>
          <w:tab w:val="center" w:pos="4422"/>
          <w:tab w:val="right" w:pos="8844"/>
        </w:tabs>
        <w:jc w:val="center"/>
        <w:rPr>
          <w:rFonts w:cs="方正小标宋简体" w:asciiTheme="majorEastAsia" w:hAnsiTheme="majorEastAsia" w:eastAsiaTheme="majorEastAsia"/>
          <w:b/>
          <w:sz w:val="48"/>
          <w:szCs w:val="48"/>
        </w:rPr>
      </w:pPr>
      <w:r>
        <w:rPr>
          <w:rFonts w:hint="eastAsia" w:cs="方正小标宋简体" w:asciiTheme="majorEastAsia" w:hAnsiTheme="majorEastAsia" w:eastAsiaTheme="majorEastAsia"/>
          <w:b/>
          <w:sz w:val="48"/>
          <w:szCs w:val="48"/>
        </w:rPr>
        <w:t>关于2019年财政决算（草案）的报告</w:t>
      </w:r>
    </w:p>
    <w:p>
      <w:pPr>
        <w:tabs>
          <w:tab w:val="center" w:pos="4422"/>
          <w:tab w:val="right" w:pos="8844"/>
        </w:tabs>
        <w:jc w:val="both"/>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32"/>
          <w:szCs w:val="32"/>
        </w:rPr>
        <w:t xml:space="preserve">                    </w:t>
      </w:r>
      <w:r>
        <w:rPr>
          <w:rFonts w:cs="方正小标宋简体" w:asciiTheme="majorEastAsia" w:hAnsiTheme="majorEastAsia" w:eastAsiaTheme="majorEastAsia"/>
          <w:b/>
          <w:sz w:val="44"/>
          <w:szCs w:val="44"/>
        </w:rPr>
        <w:tab/>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2019年，在县委的正确领导下，在县人大和县政协的监督支持下，全县各级各部门以习近平新时代中国特色社会主义思想为指导，全面贯彻党的十九大和十九届二中、三中、四中全会精神，坚持稳中求进工作总基调，深入贯彻新发展理念，落实高质量发展要求，以供给侧结构性改革为主线，统筹推进稳增长、促改革、调结构、惠民生、防风险、保稳定，全县经济运行及财政预算执行总体平稳，较好地完成了县十八届人大三次会议确定的预期目标任务。</w:t>
      </w:r>
    </w:p>
    <w:p>
      <w:pPr>
        <w:snapToGrid/>
        <w:spacing w:after="0" w:line="360" w:lineRule="auto"/>
        <w:ind w:firstLine="640" w:firstLineChars="200"/>
        <w:contextualSpacing/>
        <w:jc w:val="both"/>
        <w:rPr>
          <w:rFonts w:ascii="仿宋_GB2312" w:hAnsi="Times New Roman" w:eastAsia="仿宋_GB2312" w:cs="Times New Roman"/>
          <w:spacing w:val="-2"/>
          <w:sz w:val="32"/>
          <w:szCs w:val="32"/>
        </w:rPr>
      </w:pPr>
      <w:r>
        <w:rPr>
          <w:rFonts w:hint="eastAsia" w:ascii="黑体" w:hAnsi="黑体" w:eastAsia="黑体" w:cs="Times New Roman"/>
          <w:sz w:val="32"/>
          <w:szCs w:val="32"/>
        </w:rPr>
        <w:t>一、2019年一般公共预算收支决算情况</w:t>
      </w:r>
    </w:p>
    <w:p>
      <w:pPr>
        <w:snapToGrid/>
        <w:spacing w:after="0" w:line="360" w:lineRule="auto"/>
        <w:ind w:firstLine="632" w:firstLineChars="200"/>
        <w:contextualSpacing/>
        <w:jc w:val="both"/>
        <w:rPr>
          <w:rFonts w:ascii="仿宋_GB2312" w:eastAsia="仿宋_GB2312" w:cs="Times New Roman"/>
          <w:b/>
          <w:spacing w:val="-2"/>
          <w:sz w:val="32"/>
          <w:szCs w:val="32"/>
        </w:rPr>
      </w:pPr>
      <w:r>
        <w:rPr>
          <w:rFonts w:hint="eastAsia" w:ascii="仿宋_GB2312" w:hAnsi="Times New Roman" w:eastAsia="仿宋_GB2312" w:cs="Times New Roman"/>
          <w:spacing w:val="-2"/>
          <w:sz w:val="32"/>
          <w:szCs w:val="32"/>
        </w:rPr>
        <w:t>（一）财政收入情况</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1、2019年，全县地方财政收入完成41330万元，占年度调整预算数41000万元的100.81%，较2018年增长3.9%。其中税收收入完成33318万元，增长2.13%，非税收入完成8102万元，增长11.95%。</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2、上级补助收入</w:t>
      </w:r>
      <w:r>
        <w:rPr>
          <w:rFonts w:hint="eastAsia" w:ascii="仿宋_GB2312" w:hAnsi="Times New Roman" w:eastAsia="仿宋_GB2312" w:cs="Times New Roman"/>
          <w:spacing w:val="-2"/>
          <w:sz w:val="32"/>
          <w:szCs w:val="32"/>
        </w:rPr>
        <w:t>227926</w:t>
      </w:r>
      <w:r>
        <w:rPr>
          <w:rFonts w:ascii="仿宋_GB2312" w:hAnsi="Times New Roman" w:eastAsia="仿宋_GB2312" w:cs="Times New Roman"/>
          <w:spacing w:val="-2"/>
          <w:sz w:val="32"/>
          <w:szCs w:val="32"/>
        </w:rPr>
        <w:t>万元。其中：返还性收入3918万元，一般性转移支付收入</w:t>
      </w:r>
      <w:r>
        <w:rPr>
          <w:rFonts w:hint="eastAsia" w:ascii="仿宋_GB2312" w:hAnsi="Times New Roman" w:eastAsia="仿宋_GB2312" w:cs="Times New Roman"/>
          <w:spacing w:val="-2"/>
          <w:sz w:val="32"/>
          <w:szCs w:val="32"/>
        </w:rPr>
        <w:t>203657</w:t>
      </w:r>
      <w:r>
        <w:rPr>
          <w:rFonts w:ascii="仿宋_GB2312" w:hAnsi="Times New Roman" w:eastAsia="仿宋_GB2312" w:cs="Times New Roman"/>
          <w:spacing w:val="-2"/>
          <w:sz w:val="32"/>
          <w:szCs w:val="32"/>
        </w:rPr>
        <w:t>万元，专项转移支付收入</w:t>
      </w:r>
      <w:r>
        <w:rPr>
          <w:rFonts w:hint="eastAsia" w:ascii="仿宋_GB2312" w:hAnsi="Times New Roman" w:eastAsia="仿宋_GB2312" w:cs="Times New Roman"/>
          <w:spacing w:val="-2"/>
          <w:sz w:val="32"/>
          <w:szCs w:val="32"/>
        </w:rPr>
        <w:t>20351</w:t>
      </w:r>
      <w:r>
        <w:rPr>
          <w:rFonts w:ascii="仿宋_GB2312" w:hAnsi="Times New Roman" w:eastAsia="仿宋_GB2312" w:cs="Times New Roman"/>
          <w:spacing w:val="-2"/>
          <w:sz w:val="32"/>
          <w:szCs w:val="32"/>
        </w:rPr>
        <w:t>万元。</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3、转贷财政部代理发行地方政府债券收入（一般债券）</w:t>
      </w:r>
      <w:r>
        <w:rPr>
          <w:rFonts w:hint="eastAsia" w:ascii="仿宋_GB2312" w:hAnsi="Times New Roman" w:eastAsia="仿宋_GB2312" w:cs="Times New Roman"/>
          <w:spacing w:val="-2"/>
          <w:sz w:val="32"/>
          <w:szCs w:val="32"/>
        </w:rPr>
        <w:t>46749</w:t>
      </w:r>
      <w:r>
        <w:rPr>
          <w:rFonts w:ascii="仿宋_GB2312" w:hAnsi="Times New Roman" w:eastAsia="仿宋_GB2312" w:cs="Times New Roman"/>
          <w:spacing w:val="-2"/>
          <w:sz w:val="32"/>
          <w:szCs w:val="32"/>
        </w:rPr>
        <w:t>万元。</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4、上年结余</w:t>
      </w:r>
      <w:r>
        <w:rPr>
          <w:rFonts w:hint="eastAsia" w:ascii="仿宋_GB2312" w:hAnsi="Times New Roman" w:eastAsia="仿宋_GB2312" w:cs="Times New Roman"/>
          <w:spacing w:val="-2"/>
          <w:sz w:val="32"/>
          <w:szCs w:val="32"/>
        </w:rPr>
        <w:t>120</w:t>
      </w:r>
      <w:r>
        <w:rPr>
          <w:rFonts w:ascii="仿宋_GB2312" w:hAnsi="Times New Roman" w:eastAsia="仿宋_GB2312" w:cs="Times New Roman"/>
          <w:spacing w:val="-2"/>
          <w:sz w:val="32"/>
          <w:szCs w:val="32"/>
        </w:rPr>
        <w:t>万元。</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5、调入资金</w:t>
      </w:r>
      <w:r>
        <w:rPr>
          <w:rFonts w:hint="eastAsia" w:ascii="仿宋_GB2312" w:hAnsi="Times New Roman" w:eastAsia="仿宋_GB2312" w:cs="Times New Roman"/>
          <w:spacing w:val="-2"/>
          <w:sz w:val="32"/>
          <w:szCs w:val="32"/>
        </w:rPr>
        <w:t>23606</w:t>
      </w:r>
      <w:r>
        <w:rPr>
          <w:rFonts w:ascii="仿宋_GB2312" w:hAnsi="Times New Roman" w:eastAsia="仿宋_GB2312" w:cs="Times New Roman"/>
          <w:spacing w:val="-2"/>
          <w:sz w:val="32"/>
          <w:szCs w:val="32"/>
        </w:rPr>
        <w:t>万元，主要为政府性基金预算</w:t>
      </w:r>
      <w:r>
        <w:rPr>
          <w:rFonts w:hint="eastAsia" w:ascii="仿宋_GB2312" w:hAnsi="Times New Roman" w:eastAsia="仿宋_GB2312" w:cs="Times New Roman"/>
          <w:spacing w:val="-2"/>
          <w:sz w:val="32"/>
          <w:szCs w:val="32"/>
        </w:rPr>
        <w:t>、国有资本经营预算</w:t>
      </w:r>
      <w:r>
        <w:rPr>
          <w:rFonts w:ascii="仿宋_GB2312" w:hAnsi="Times New Roman" w:eastAsia="仿宋_GB2312" w:cs="Times New Roman"/>
          <w:spacing w:val="-2"/>
          <w:sz w:val="32"/>
          <w:szCs w:val="32"/>
        </w:rPr>
        <w:t>及其他财政存量资金调入。</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以上收入总计为</w:t>
      </w:r>
      <w:r>
        <w:rPr>
          <w:rFonts w:hint="eastAsia" w:ascii="仿宋_GB2312" w:hAnsi="Times New Roman" w:eastAsia="仿宋_GB2312" w:cs="Times New Roman"/>
          <w:spacing w:val="-2"/>
          <w:sz w:val="32"/>
          <w:szCs w:val="32"/>
        </w:rPr>
        <w:t>339731</w:t>
      </w:r>
      <w:r>
        <w:rPr>
          <w:rFonts w:ascii="仿宋_GB2312" w:hAnsi="Times New Roman" w:eastAsia="仿宋_GB2312" w:cs="Times New Roman"/>
          <w:spacing w:val="-2"/>
          <w:sz w:val="32"/>
          <w:szCs w:val="32"/>
        </w:rPr>
        <w:t>万元。</w:t>
      </w:r>
    </w:p>
    <w:p>
      <w:pPr>
        <w:snapToGrid/>
        <w:spacing w:after="0" w:line="360" w:lineRule="auto"/>
        <w:ind w:firstLine="635" w:firstLineChars="200"/>
        <w:contextualSpacing/>
        <w:jc w:val="both"/>
        <w:rPr>
          <w:rFonts w:ascii="仿宋_GB2312" w:eastAsia="仿宋_GB2312" w:cs="Times New Roman"/>
          <w:b/>
          <w:spacing w:val="-2"/>
          <w:sz w:val="32"/>
          <w:szCs w:val="32"/>
        </w:rPr>
      </w:pPr>
      <w:r>
        <w:rPr>
          <w:rFonts w:hint="eastAsia" w:ascii="仿宋_GB2312" w:eastAsia="仿宋_GB2312" w:cs="Times New Roman"/>
          <w:b/>
          <w:spacing w:val="-2"/>
          <w:sz w:val="32"/>
          <w:szCs w:val="32"/>
        </w:rPr>
        <w:t>（二）财政支出情况</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1、2019年，</w:t>
      </w:r>
      <w:r>
        <w:rPr>
          <w:rFonts w:ascii="仿宋_GB2312" w:hAnsi="Times New Roman" w:eastAsia="仿宋_GB2312" w:cs="Times New Roman"/>
          <w:spacing w:val="-2"/>
          <w:sz w:val="32"/>
          <w:szCs w:val="32"/>
        </w:rPr>
        <w:t>全县一般公共预算支出314217万元，占调整预算数314344万元的99.96%，</w:t>
      </w:r>
      <w:r>
        <w:rPr>
          <w:rFonts w:hint="eastAsia" w:ascii="仿宋_GB2312" w:hAnsi="Times New Roman" w:eastAsia="仿宋_GB2312" w:cs="Times New Roman"/>
          <w:spacing w:val="-2"/>
          <w:sz w:val="32"/>
          <w:szCs w:val="32"/>
        </w:rPr>
        <w:t>较2018年</w:t>
      </w:r>
      <w:r>
        <w:rPr>
          <w:rFonts w:ascii="仿宋_GB2312" w:hAnsi="Times New Roman" w:eastAsia="仿宋_GB2312" w:cs="Times New Roman"/>
          <w:spacing w:val="-2"/>
          <w:sz w:val="32"/>
          <w:szCs w:val="32"/>
        </w:rPr>
        <w:t>增长4.49%。</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2、上解支出</w:t>
      </w:r>
      <w:r>
        <w:rPr>
          <w:rFonts w:hint="eastAsia" w:ascii="仿宋_GB2312" w:hAnsi="Times New Roman" w:eastAsia="仿宋_GB2312" w:cs="Times New Roman"/>
          <w:spacing w:val="-2"/>
          <w:sz w:val="32"/>
          <w:szCs w:val="32"/>
        </w:rPr>
        <w:t>8312</w:t>
      </w:r>
      <w:r>
        <w:rPr>
          <w:rFonts w:ascii="仿宋_GB2312" w:hAnsi="Times New Roman" w:eastAsia="仿宋_GB2312" w:cs="Times New Roman"/>
          <w:spacing w:val="-2"/>
          <w:sz w:val="32"/>
          <w:szCs w:val="32"/>
        </w:rPr>
        <w:t>万元。其中：定额体制上解664万元，</w:t>
      </w:r>
      <w:r>
        <w:rPr>
          <w:rFonts w:hint="eastAsia" w:ascii="仿宋_GB2312" w:hAnsi="Times New Roman" w:eastAsia="仿宋_GB2312" w:cs="Times New Roman"/>
          <w:spacing w:val="-2"/>
          <w:sz w:val="32"/>
          <w:szCs w:val="32"/>
        </w:rPr>
        <w:t>专项上解支出7648万元</w:t>
      </w:r>
      <w:r>
        <w:rPr>
          <w:rFonts w:ascii="仿宋_GB2312" w:hAnsi="Times New Roman" w:eastAsia="仿宋_GB2312" w:cs="Times New Roman"/>
          <w:spacing w:val="-2"/>
          <w:sz w:val="32"/>
          <w:szCs w:val="32"/>
        </w:rPr>
        <w:t>。</w:t>
      </w:r>
    </w:p>
    <w:p>
      <w:pPr>
        <w:snapToGrid/>
        <w:spacing w:after="0" w:line="360" w:lineRule="auto"/>
        <w:ind w:firstLine="632" w:firstLineChars="200"/>
        <w:contextualSpacing/>
        <w:jc w:val="both"/>
        <w:rPr>
          <w:rFonts w:ascii="仿宋_GB2312" w:hAnsi="Times New Roman" w:eastAsia="仿宋_GB2312" w:cs="Times New Roman"/>
          <w:spacing w:val="-2"/>
          <w:sz w:val="32"/>
          <w:szCs w:val="32"/>
        </w:rPr>
      </w:pPr>
      <w:r>
        <w:rPr>
          <w:rFonts w:ascii="仿宋_GB2312" w:hAnsi="Times New Roman" w:eastAsia="仿宋_GB2312" w:cs="Times New Roman"/>
          <w:spacing w:val="-2"/>
          <w:sz w:val="32"/>
          <w:szCs w:val="32"/>
        </w:rPr>
        <w:t>3、转贷财政部代理发行地方政府债券还</w:t>
      </w:r>
      <w:r>
        <w:rPr>
          <w:rFonts w:hint="eastAsia" w:ascii="仿宋_GB2312" w:hAnsi="Times New Roman" w:eastAsia="仿宋_GB2312" w:cs="Times New Roman"/>
          <w:spacing w:val="-2"/>
          <w:sz w:val="32"/>
          <w:szCs w:val="32"/>
        </w:rPr>
        <w:t>本17067</w:t>
      </w:r>
      <w:r>
        <w:rPr>
          <w:rFonts w:ascii="仿宋_GB2312" w:hAnsi="Times New Roman" w:eastAsia="仿宋_GB2312" w:cs="Times New Roman"/>
          <w:spacing w:val="-2"/>
          <w:sz w:val="32"/>
          <w:szCs w:val="32"/>
        </w:rPr>
        <w:t>万元。</w:t>
      </w:r>
    </w:p>
    <w:p>
      <w:pPr>
        <w:snapToGrid/>
        <w:spacing w:after="0" w:line="360" w:lineRule="auto"/>
        <w:ind w:firstLine="632" w:firstLineChars="200"/>
        <w:contextualSpacing/>
        <w:jc w:val="both"/>
        <w:rPr>
          <w:rFonts w:ascii="仿宋_GB2312" w:hAnsi="仿宋_GB2312" w:eastAsia="仿宋_GB2312" w:cs="仿宋_GB2312"/>
          <w:sz w:val="32"/>
          <w:szCs w:val="32"/>
        </w:rPr>
      </w:pPr>
      <w:r>
        <w:rPr>
          <w:rFonts w:hint="eastAsia" w:ascii="仿宋_GB2312" w:hAnsi="Times New Roman" w:eastAsia="仿宋_GB2312" w:cs="Times New Roman"/>
          <w:spacing w:val="-2"/>
          <w:sz w:val="32"/>
          <w:szCs w:val="32"/>
        </w:rPr>
        <w:t>4、调出资金8万元。</w:t>
      </w:r>
    </w:p>
    <w:p>
      <w:pPr>
        <w:snapToGrid/>
        <w:spacing w:after="0" w:line="360" w:lineRule="auto"/>
        <w:ind w:firstLine="632" w:firstLineChars="200"/>
        <w:contextualSpacing/>
        <w:jc w:val="both"/>
        <w:rPr>
          <w:rFonts w:ascii="仿宋_GB2312" w:hAnsi="仿宋_GB2312" w:eastAsia="仿宋_GB2312" w:cs="仿宋_GB2312"/>
          <w:sz w:val="32"/>
          <w:szCs w:val="32"/>
        </w:rPr>
      </w:pPr>
      <w:r>
        <w:rPr>
          <w:rFonts w:hint="eastAsia" w:ascii="仿宋_GB2312" w:hAnsi="Times New Roman" w:eastAsia="仿宋_GB2312" w:cs="Times New Roman"/>
          <w:spacing w:val="-2"/>
          <w:sz w:val="32"/>
          <w:szCs w:val="32"/>
        </w:rPr>
        <w:t>以上支出总计为339604万</w:t>
      </w:r>
      <w:r>
        <w:rPr>
          <w:rFonts w:ascii="Times New Roman" w:hAnsi="Times New Roman" w:eastAsia="仿宋_GB2312" w:cs="Times New Roman"/>
          <w:spacing w:val="-2"/>
          <w:sz w:val="32"/>
          <w:szCs w:val="32"/>
        </w:rPr>
        <w:t>元。</w:t>
      </w:r>
    </w:p>
    <w:p>
      <w:pPr>
        <w:snapToGrid/>
        <w:spacing w:after="0" w:line="360" w:lineRule="auto"/>
        <w:ind w:firstLine="622" w:firstLineChars="196"/>
        <w:contextualSpacing/>
        <w:jc w:val="both"/>
        <w:rPr>
          <w:rFonts w:ascii="仿宋_GB2312" w:eastAsia="仿宋_GB2312" w:cs="Times New Roman"/>
          <w:b/>
          <w:spacing w:val="-2"/>
          <w:sz w:val="32"/>
          <w:szCs w:val="32"/>
        </w:rPr>
      </w:pPr>
      <w:r>
        <w:rPr>
          <w:rFonts w:hint="eastAsia" w:ascii="仿宋_GB2312" w:eastAsia="仿宋_GB2312" w:cs="Times New Roman"/>
          <w:b/>
          <w:spacing w:val="-2"/>
          <w:sz w:val="32"/>
          <w:szCs w:val="32"/>
        </w:rPr>
        <w:t>（三）平衡情况</w:t>
      </w:r>
    </w:p>
    <w:p>
      <w:pPr>
        <w:snapToGrid/>
        <w:spacing w:after="0" w:line="360" w:lineRule="auto"/>
        <w:ind w:firstLine="632" w:firstLineChars="200"/>
        <w:contextualSpacing/>
        <w:jc w:val="both"/>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2019年，全县收入总计339731万元，支出总计339604万元，收支相抵后，年终滚存结余为127万元，减去结转支出127万元，净结余为0。</w:t>
      </w:r>
    </w:p>
    <w:p>
      <w:pPr>
        <w:snapToGrid/>
        <w:spacing w:after="0" w:line="360" w:lineRule="auto"/>
        <w:ind w:firstLine="640" w:firstLineChars="200"/>
        <w:contextualSpacing/>
        <w:jc w:val="both"/>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黑体"/>
          <w:sz w:val="32"/>
          <w:szCs w:val="32"/>
        </w:rPr>
        <w:t>2019</w:t>
      </w:r>
      <w:r>
        <w:rPr>
          <w:rFonts w:ascii="黑体" w:hAnsi="黑体" w:eastAsia="黑体" w:cs="Times New Roman"/>
          <w:sz w:val="32"/>
          <w:szCs w:val="32"/>
        </w:rPr>
        <w:t>年政府性基金预算收支决算情况</w:t>
      </w:r>
    </w:p>
    <w:p>
      <w:pPr>
        <w:snapToGrid/>
        <w:spacing w:after="0" w:line="360" w:lineRule="auto"/>
        <w:ind w:firstLine="635" w:firstLineChars="200"/>
        <w:contextualSpacing/>
        <w:jc w:val="both"/>
        <w:rPr>
          <w:rFonts w:ascii="仿宋_GB2312" w:eastAsia="仿宋_GB2312" w:cs="Times New Roman"/>
          <w:sz w:val="32"/>
          <w:szCs w:val="32"/>
        </w:rPr>
      </w:pPr>
      <w:r>
        <w:rPr>
          <w:rFonts w:hint="eastAsia" w:ascii="仿宋_GB2312" w:eastAsia="仿宋_GB2312" w:cs="Times New Roman"/>
          <w:b/>
          <w:spacing w:val="-2"/>
          <w:sz w:val="32"/>
          <w:szCs w:val="32"/>
        </w:rPr>
        <w:t>（一）政府性基金收入情况</w:t>
      </w:r>
    </w:p>
    <w:p>
      <w:pPr>
        <w:snapToGrid/>
        <w:spacing w:after="0" w:line="360" w:lineRule="auto"/>
        <w:ind w:firstLine="632" w:firstLineChars="200"/>
        <w:contextualSpacing/>
        <w:jc w:val="both"/>
        <w:rPr>
          <w:rFonts w:ascii="仿宋_GB2312" w:eastAsia="仿宋_GB2312" w:cs="Times New Roman"/>
          <w:sz w:val="32"/>
          <w:szCs w:val="32"/>
        </w:rPr>
      </w:pPr>
      <w:r>
        <w:rPr>
          <w:rFonts w:hint="eastAsia" w:ascii="仿宋_GB2312" w:hAnsi="Times New Roman" w:eastAsia="仿宋_GB2312" w:cs="Times New Roman"/>
          <w:spacing w:val="-2"/>
          <w:sz w:val="32"/>
          <w:szCs w:val="32"/>
        </w:rPr>
        <w:t>1、2019年政府性基金预算收入完成57948万元，较2018年增长167.04%。其中：国有土地使用权出让收入56905万元，城市基础设施配套费收入763万元，污水处理费收入280万元。</w:t>
      </w:r>
    </w:p>
    <w:p>
      <w:pPr>
        <w:snapToGrid/>
        <w:spacing w:after="0" w:line="360" w:lineRule="auto"/>
        <w:ind w:firstLine="632" w:firstLineChars="200"/>
        <w:contextualSpacing/>
        <w:jc w:val="both"/>
        <w:rPr>
          <w:rFonts w:ascii="仿宋_GB2312" w:eastAsia="仿宋_GB2312" w:cs="Times New Roman"/>
          <w:sz w:val="32"/>
          <w:szCs w:val="32"/>
        </w:rPr>
      </w:pPr>
      <w:r>
        <w:rPr>
          <w:rFonts w:hint="eastAsia" w:ascii="仿宋_GB2312" w:hAnsi="Times New Roman" w:eastAsia="仿宋_GB2312" w:cs="Times New Roman"/>
          <w:spacing w:val="-2"/>
          <w:sz w:val="32"/>
          <w:szCs w:val="32"/>
        </w:rPr>
        <w:t>2、上级补助收入2110万元。</w:t>
      </w:r>
    </w:p>
    <w:p>
      <w:pPr>
        <w:snapToGrid/>
        <w:spacing w:after="0" w:line="360" w:lineRule="auto"/>
        <w:ind w:firstLine="632" w:firstLineChars="200"/>
        <w:contextualSpacing/>
        <w:jc w:val="both"/>
        <w:rPr>
          <w:rFonts w:ascii="仿宋_GB2312" w:eastAsia="仿宋_GB2312" w:cs="Times New Roman"/>
          <w:sz w:val="32"/>
          <w:szCs w:val="32"/>
        </w:rPr>
      </w:pPr>
      <w:r>
        <w:rPr>
          <w:rFonts w:hint="eastAsia" w:ascii="仿宋_GB2312" w:hAnsi="Times New Roman" w:eastAsia="仿宋_GB2312" w:cs="Times New Roman"/>
          <w:spacing w:val="-2"/>
          <w:sz w:val="32"/>
          <w:szCs w:val="32"/>
        </w:rPr>
        <w:t>3、转贷财政部代理发行地方政府债券收入（专项债券）44331万元。</w:t>
      </w:r>
    </w:p>
    <w:p>
      <w:pPr>
        <w:snapToGrid/>
        <w:spacing w:after="0" w:line="360" w:lineRule="auto"/>
        <w:ind w:firstLine="632" w:firstLineChars="200"/>
        <w:contextualSpacing/>
        <w:jc w:val="both"/>
        <w:rPr>
          <w:rFonts w:ascii="仿宋_GB2312" w:eastAsia="仿宋_GB2312" w:cs="Times New Roman"/>
          <w:sz w:val="32"/>
          <w:szCs w:val="32"/>
        </w:rPr>
      </w:pPr>
      <w:r>
        <w:rPr>
          <w:rFonts w:hint="eastAsia" w:ascii="仿宋_GB2312" w:hAnsi="Times New Roman" w:eastAsia="仿宋_GB2312" w:cs="Times New Roman"/>
          <w:spacing w:val="-2"/>
          <w:sz w:val="32"/>
          <w:szCs w:val="32"/>
        </w:rPr>
        <w:t>4、上年结余4655万元。</w:t>
      </w:r>
    </w:p>
    <w:p>
      <w:pPr>
        <w:snapToGrid/>
        <w:spacing w:after="0" w:line="360" w:lineRule="auto"/>
        <w:ind w:firstLine="632" w:firstLineChars="200"/>
        <w:contextualSpacing/>
        <w:jc w:val="both"/>
        <w:rPr>
          <w:rFonts w:ascii="仿宋_GB2312" w:eastAsia="仿宋_GB2312" w:cs="Times New Roman"/>
          <w:sz w:val="32"/>
          <w:szCs w:val="32"/>
        </w:rPr>
      </w:pPr>
      <w:r>
        <w:rPr>
          <w:rFonts w:hint="eastAsia" w:ascii="仿宋_GB2312" w:hAnsi="Times New Roman" w:eastAsia="仿宋_GB2312" w:cs="Times New Roman"/>
          <w:spacing w:val="-2"/>
          <w:sz w:val="32"/>
          <w:szCs w:val="32"/>
        </w:rPr>
        <w:t>5、调入资金8万元。</w:t>
      </w:r>
    </w:p>
    <w:p>
      <w:pPr>
        <w:snapToGrid/>
        <w:spacing w:after="0" w:line="360" w:lineRule="auto"/>
        <w:ind w:firstLine="632" w:firstLineChars="200"/>
        <w:contextualSpacing/>
        <w:jc w:val="both"/>
        <w:rPr>
          <w:rFonts w:ascii="仿宋_GB2312" w:eastAsia="仿宋_GB2312" w:cs="Times New Roman"/>
          <w:sz w:val="32"/>
          <w:szCs w:val="32"/>
        </w:rPr>
      </w:pPr>
      <w:r>
        <w:rPr>
          <w:rFonts w:hint="eastAsia" w:ascii="仿宋_GB2312" w:hAnsi="Times New Roman" w:eastAsia="仿宋_GB2312" w:cs="Times New Roman"/>
          <w:spacing w:val="-2"/>
          <w:sz w:val="32"/>
          <w:szCs w:val="32"/>
        </w:rPr>
        <w:t>以上收入总计为109052万元。</w:t>
      </w:r>
    </w:p>
    <w:p>
      <w:pPr>
        <w:snapToGrid/>
        <w:spacing w:after="0" w:line="360" w:lineRule="auto"/>
        <w:ind w:firstLine="622" w:firstLineChars="196"/>
        <w:contextualSpacing/>
        <w:jc w:val="both"/>
        <w:rPr>
          <w:rFonts w:ascii="仿宋_GB2312" w:eastAsia="仿宋_GB2312" w:cs="Times New Roman"/>
          <w:b/>
          <w:spacing w:val="-2"/>
          <w:sz w:val="32"/>
          <w:szCs w:val="32"/>
        </w:rPr>
      </w:pPr>
      <w:r>
        <w:rPr>
          <w:rFonts w:hint="eastAsia" w:ascii="仿宋_GB2312" w:eastAsia="仿宋_GB2312" w:cs="Times New Roman"/>
          <w:b/>
          <w:spacing w:val="-2"/>
          <w:sz w:val="32"/>
          <w:szCs w:val="32"/>
        </w:rPr>
        <w:t>（二）政府性基金支出情况</w:t>
      </w:r>
    </w:p>
    <w:p>
      <w:pPr>
        <w:snapToGrid/>
        <w:spacing w:after="0" w:line="360" w:lineRule="auto"/>
        <w:ind w:firstLine="619" w:firstLineChars="196"/>
        <w:contextualSpacing/>
        <w:jc w:val="both"/>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1、2019年政府性基金预算支出56346万元</w:t>
      </w:r>
      <w:r>
        <w:rPr>
          <w:rStyle w:val="11"/>
          <w:rFonts w:hint="default" w:hAnsi="Times New Roman" w:cs="Times New Roman"/>
        </w:rPr>
        <w:t>，较2018年增长130.89</w:t>
      </w:r>
      <w:r>
        <w:rPr>
          <w:rFonts w:hint="eastAsia" w:ascii="仿宋_GB2312" w:hAnsi="Times New Roman" w:eastAsia="仿宋_GB2312" w:cs="Times New Roman"/>
          <w:spacing w:val="-2"/>
          <w:kern w:val="2"/>
          <w:sz w:val="32"/>
          <w:szCs w:val="32"/>
        </w:rPr>
        <w:t>%</w:t>
      </w:r>
      <w:r>
        <w:rPr>
          <w:rFonts w:hint="eastAsia" w:ascii="仿宋_GB2312" w:hAnsi="Times New Roman" w:eastAsia="仿宋_GB2312" w:cs="Times New Roman"/>
          <w:spacing w:val="-2"/>
          <w:sz w:val="32"/>
          <w:szCs w:val="32"/>
        </w:rPr>
        <w:t>。其中：文化体育与体育传媒支出80万元，旅游发展基金支出80万，大中型水库移民后期扶持基金支出86万元，国有土地使用权出让收入及对应专项债务收入安排的支出22182万元，城市基础设施配套费安排的支出500万元，土地储备专项债券收入安排的支出4000万元，棚户区改造专项债券收入安排的支出17000万元，其他地方自行试点项目收益专项债券收入安排的支出7100万元，彩票发行销售机构业务费安排的支出27万元，彩票公益金安排的支出1917万元，债务付息支出3407万元，债务发行费用支出47万元。</w:t>
      </w:r>
    </w:p>
    <w:p>
      <w:pPr>
        <w:snapToGrid/>
        <w:spacing w:after="0" w:line="360" w:lineRule="auto"/>
        <w:ind w:firstLine="619" w:firstLineChars="196"/>
        <w:contextualSpacing/>
        <w:jc w:val="both"/>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2、转贷财政部代理发行地方政府债券还本16251万元。</w:t>
      </w:r>
    </w:p>
    <w:p>
      <w:pPr>
        <w:snapToGrid/>
        <w:spacing w:after="0" w:line="360" w:lineRule="auto"/>
        <w:ind w:firstLine="619" w:firstLineChars="196"/>
        <w:contextualSpacing/>
        <w:jc w:val="both"/>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3、调出资金23505万元。</w:t>
      </w:r>
    </w:p>
    <w:p>
      <w:pPr>
        <w:snapToGrid/>
        <w:spacing w:after="0" w:line="360" w:lineRule="auto"/>
        <w:ind w:firstLine="619" w:firstLineChars="196"/>
        <w:contextualSpacing/>
        <w:jc w:val="both"/>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以上支出总计为96102万元。</w:t>
      </w:r>
    </w:p>
    <w:p>
      <w:pPr>
        <w:snapToGrid/>
        <w:spacing w:after="0" w:line="360" w:lineRule="auto"/>
        <w:ind w:firstLine="635" w:firstLineChars="200"/>
        <w:contextualSpacing/>
        <w:jc w:val="both"/>
        <w:rPr>
          <w:rFonts w:ascii="仿宋_GB2312" w:eastAsia="仿宋_GB2312" w:cs="Times New Roman"/>
          <w:b/>
          <w:spacing w:val="-2"/>
          <w:sz w:val="32"/>
          <w:szCs w:val="32"/>
        </w:rPr>
      </w:pPr>
      <w:r>
        <w:rPr>
          <w:rFonts w:hint="eastAsia" w:ascii="仿宋_GB2312" w:eastAsia="仿宋_GB2312" w:cs="Times New Roman"/>
          <w:b/>
          <w:spacing w:val="-2"/>
          <w:sz w:val="32"/>
          <w:szCs w:val="32"/>
        </w:rPr>
        <w:t>（三）平衡情况</w:t>
      </w:r>
    </w:p>
    <w:p>
      <w:pPr>
        <w:snapToGrid/>
        <w:spacing w:after="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2019年,全县政府性基金预算收入总计</w:t>
      </w:r>
      <w:r>
        <w:rPr>
          <w:rFonts w:hint="eastAsia" w:ascii="仿宋_GB2312" w:hAnsi="仿宋_GB2312" w:eastAsia="仿宋_GB2312" w:cs="仿宋_GB2312"/>
          <w:spacing w:val="-2"/>
          <w:sz w:val="32"/>
          <w:szCs w:val="32"/>
        </w:rPr>
        <w:t>109052</w:t>
      </w:r>
      <w:r>
        <w:rPr>
          <w:rFonts w:hint="eastAsia" w:ascii="仿宋_GB2312" w:hAnsi="仿宋_GB2312" w:eastAsia="仿宋_GB2312" w:cs="仿宋_GB2312"/>
          <w:sz w:val="32"/>
          <w:szCs w:val="32"/>
        </w:rPr>
        <w:t>万元，支出总计96102万元，收支相抵，年终滚存结余12950万元，主要为待拨付的国有土地征地和拆迁补偿等支出。</w:t>
      </w:r>
    </w:p>
    <w:p>
      <w:pPr>
        <w:snapToGrid/>
        <w:spacing w:after="0" w:line="360" w:lineRule="auto"/>
        <w:ind w:firstLine="640" w:firstLineChars="200"/>
        <w:contextualSpacing/>
        <w:jc w:val="both"/>
        <w:rPr>
          <w:rFonts w:ascii="黑体" w:hAnsi="黑体" w:eastAsia="黑体" w:cs="Times New Roman"/>
          <w:sz w:val="32"/>
          <w:szCs w:val="32"/>
        </w:rPr>
      </w:pPr>
      <w:r>
        <w:rPr>
          <w:rFonts w:ascii="黑体" w:hAnsi="黑体" w:eastAsia="黑体" w:cs="Times New Roman"/>
          <w:sz w:val="32"/>
          <w:szCs w:val="32"/>
        </w:rPr>
        <w:t>三、201</w:t>
      </w:r>
      <w:r>
        <w:rPr>
          <w:rFonts w:hint="eastAsia" w:ascii="黑体" w:hAnsi="黑体" w:eastAsia="黑体" w:cs="Times New Roman"/>
          <w:sz w:val="32"/>
          <w:szCs w:val="32"/>
        </w:rPr>
        <w:t>9</w:t>
      </w:r>
      <w:r>
        <w:rPr>
          <w:rFonts w:ascii="黑体" w:hAnsi="黑体" w:eastAsia="黑体" w:cs="Times New Roman"/>
          <w:sz w:val="32"/>
          <w:szCs w:val="32"/>
        </w:rPr>
        <w:t>年国有资本经营预算收支决算情况</w:t>
      </w:r>
    </w:p>
    <w:p>
      <w:pPr>
        <w:snapToGrid/>
        <w:spacing w:after="0" w:line="360" w:lineRule="auto"/>
        <w:ind w:firstLine="635" w:firstLineChars="200"/>
        <w:contextualSpacing/>
        <w:jc w:val="both"/>
        <w:rPr>
          <w:rFonts w:ascii="仿宋_GB2312" w:hAnsi="Times New Roman" w:eastAsia="仿宋_GB2312" w:cs="Times New Roman"/>
          <w:b/>
          <w:color w:val="000000"/>
          <w:spacing w:val="-2"/>
          <w:sz w:val="32"/>
          <w:szCs w:val="32"/>
        </w:rPr>
      </w:pPr>
      <w:r>
        <w:rPr>
          <w:rFonts w:hint="eastAsia" w:ascii="仿宋_GB2312" w:hAnsi="Times New Roman" w:eastAsia="仿宋_GB2312" w:cs="Times New Roman"/>
          <w:b/>
          <w:color w:val="000000"/>
          <w:spacing w:val="-2"/>
          <w:sz w:val="32"/>
          <w:szCs w:val="32"/>
        </w:rPr>
        <w:t>（一）国有资本经营收入情况</w:t>
      </w:r>
    </w:p>
    <w:p>
      <w:pPr>
        <w:snapToGrid/>
        <w:spacing w:after="0" w:line="360" w:lineRule="auto"/>
        <w:ind w:firstLine="632" w:firstLineChars="200"/>
        <w:contextualSpacing/>
        <w:jc w:val="both"/>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国有资本经营</w:t>
      </w:r>
      <w:r>
        <w:rPr>
          <w:rFonts w:hint="eastAsia" w:ascii="仿宋_GB2312" w:hAnsi="仿宋_GB2312" w:eastAsia="仿宋_GB2312" w:cs="仿宋_GB2312"/>
          <w:spacing w:val="-2"/>
          <w:sz w:val="32"/>
          <w:szCs w:val="32"/>
        </w:rPr>
        <w:t>收入101万元，</w:t>
      </w:r>
      <w:r>
        <w:rPr>
          <w:rFonts w:ascii="Times New Roman" w:hAnsi="Times New Roman" w:eastAsia="仿宋_GB2312" w:cs="Times New Roman"/>
          <w:sz w:val="32"/>
          <w:szCs w:val="32"/>
        </w:rPr>
        <w:t>主要为中小企业应急转贷服务有限公司、勉县国有资产经营有限责任公司、交通建设运营有限责任公司实现净利润核定上缴部分。</w:t>
      </w:r>
    </w:p>
    <w:p>
      <w:pPr>
        <w:snapToGrid/>
        <w:spacing w:after="0" w:line="360" w:lineRule="auto"/>
        <w:ind w:firstLine="635" w:firstLineChars="200"/>
        <w:contextualSpacing/>
        <w:jc w:val="both"/>
        <w:rPr>
          <w:rFonts w:ascii="仿宋_GB2312" w:hAnsi="Times New Roman" w:eastAsia="仿宋_GB2312" w:cs="Times New Roman"/>
          <w:b/>
          <w:color w:val="000000"/>
          <w:spacing w:val="-2"/>
          <w:sz w:val="32"/>
          <w:szCs w:val="32"/>
        </w:rPr>
      </w:pPr>
      <w:r>
        <w:rPr>
          <w:rFonts w:hint="eastAsia" w:ascii="仿宋_GB2312" w:hAnsi="Times New Roman" w:eastAsia="仿宋_GB2312" w:cs="Times New Roman"/>
          <w:b/>
          <w:color w:val="000000"/>
          <w:spacing w:val="-2"/>
          <w:sz w:val="32"/>
          <w:szCs w:val="32"/>
        </w:rPr>
        <w:t>（二）国有资本经营支出情况</w:t>
      </w:r>
    </w:p>
    <w:p>
      <w:pPr>
        <w:snapToGrid/>
        <w:spacing w:after="0" w:line="360" w:lineRule="auto"/>
        <w:ind w:firstLine="632" w:firstLineChars="200"/>
        <w:contextualSpacing/>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国有资本经营支</w:t>
      </w:r>
      <w:r>
        <w:rPr>
          <w:rFonts w:hint="eastAsia" w:ascii="仿宋_GB2312" w:hAnsi="仿宋_GB2312" w:eastAsia="仿宋_GB2312" w:cs="仿宋_GB2312"/>
          <w:spacing w:val="-2"/>
          <w:sz w:val="32"/>
          <w:szCs w:val="32"/>
        </w:rPr>
        <w:t>出101万元，调</w:t>
      </w:r>
      <w:r>
        <w:rPr>
          <w:rFonts w:hint="eastAsia" w:ascii="Times New Roman" w:hAnsi="Times New Roman" w:eastAsia="仿宋_GB2312" w:cs="Times New Roman"/>
          <w:spacing w:val="-2"/>
          <w:sz w:val="32"/>
          <w:szCs w:val="32"/>
        </w:rPr>
        <w:t>出纳入一般公共预算安排。</w:t>
      </w:r>
    </w:p>
    <w:p>
      <w:pPr>
        <w:snapToGrid/>
        <w:spacing w:after="0" w:line="360" w:lineRule="auto"/>
        <w:ind w:firstLine="635" w:firstLineChars="200"/>
        <w:contextualSpacing/>
        <w:jc w:val="both"/>
        <w:rPr>
          <w:rFonts w:ascii="仿宋_GB2312" w:hAnsi="Times New Roman" w:eastAsia="仿宋_GB2312" w:cs="Times New Roman"/>
          <w:b/>
          <w:color w:val="000000"/>
          <w:spacing w:val="-2"/>
          <w:sz w:val="32"/>
          <w:szCs w:val="32"/>
        </w:rPr>
      </w:pPr>
      <w:r>
        <w:rPr>
          <w:rFonts w:hint="eastAsia" w:ascii="仿宋_GB2312" w:hAnsi="Times New Roman" w:eastAsia="仿宋_GB2312" w:cs="Times New Roman"/>
          <w:b/>
          <w:color w:val="000000"/>
          <w:spacing w:val="-2"/>
          <w:sz w:val="32"/>
          <w:szCs w:val="32"/>
        </w:rPr>
        <w:t>（三）平衡情况</w:t>
      </w:r>
    </w:p>
    <w:p>
      <w:pPr>
        <w:snapToGrid/>
        <w:spacing w:after="0" w:line="360" w:lineRule="auto"/>
        <w:ind w:firstLine="632" w:firstLineChars="200"/>
        <w:contextualSpacing/>
        <w:jc w:val="both"/>
        <w:rPr>
          <w:rFonts w:eastAsia="仿宋_GB2312" w:cs="Times New Roman"/>
          <w:sz w:val="32"/>
          <w:szCs w:val="32"/>
        </w:rPr>
      </w:pPr>
      <w:r>
        <w:rPr>
          <w:rFonts w:hint="eastAsia" w:ascii="Times New Roman" w:hAnsi="Times New Roman" w:eastAsia="仿宋_GB2312" w:cs="Times New Roman"/>
          <w:spacing w:val="-2"/>
          <w:sz w:val="32"/>
          <w:szCs w:val="32"/>
        </w:rPr>
        <w:t>国有资本经营收</w:t>
      </w:r>
      <w:r>
        <w:rPr>
          <w:rFonts w:hint="eastAsia" w:ascii="仿宋_GB2312" w:hAnsi="仿宋_GB2312" w:eastAsia="仿宋_GB2312" w:cs="仿宋_GB2312"/>
          <w:spacing w:val="-2"/>
          <w:sz w:val="32"/>
          <w:szCs w:val="32"/>
        </w:rPr>
        <w:t>入101万元,</w:t>
      </w:r>
      <w:r>
        <w:rPr>
          <w:rFonts w:hint="eastAsia" w:ascii="Times New Roman" w:hAnsi="Times New Roman" w:eastAsia="仿宋_GB2312" w:cs="Times New Roman"/>
          <w:spacing w:val="-2"/>
          <w:sz w:val="32"/>
          <w:szCs w:val="32"/>
        </w:rPr>
        <w:t>支</w:t>
      </w:r>
      <w:r>
        <w:rPr>
          <w:rFonts w:hint="eastAsia" w:ascii="仿宋_GB2312" w:hAnsi="仿宋_GB2312" w:eastAsia="仿宋_GB2312" w:cs="仿宋_GB2312"/>
          <w:spacing w:val="-2"/>
          <w:sz w:val="32"/>
          <w:szCs w:val="32"/>
        </w:rPr>
        <w:t>出101万</w:t>
      </w:r>
      <w:r>
        <w:rPr>
          <w:rFonts w:hint="eastAsia" w:ascii="Times New Roman" w:hAnsi="Times New Roman" w:eastAsia="仿宋_GB2312" w:cs="Times New Roman"/>
          <w:spacing w:val="-2"/>
          <w:sz w:val="32"/>
          <w:szCs w:val="32"/>
        </w:rPr>
        <w:t>元，当年无结余。</w:t>
      </w:r>
    </w:p>
    <w:p>
      <w:pPr>
        <w:snapToGrid/>
        <w:spacing w:after="0" w:line="360" w:lineRule="auto"/>
        <w:ind w:firstLine="640" w:firstLineChars="200"/>
        <w:contextualSpacing/>
        <w:jc w:val="both"/>
        <w:rPr>
          <w:rFonts w:ascii="黑体" w:hAnsi="黑体" w:eastAsia="黑体" w:cs="Times New Roman"/>
          <w:sz w:val="32"/>
          <w:szCs w:val="32"/>
        </w:rPr>
      </w:pPr>
      <w:r>
        <w:rPr>
          <w:rFonts w:ascii="黑体" w:hAnsi="黑体" w:eastAsia="黑体" w:cs="Times New Roman"/>
          <w:sz w:val="32"/>
          <w:szCs w:val="32"/>
        </w:rPr>
        <w:t>四、201</w:t>
      </w:r>
      <w:r>
        <w:rPr>
          <w:rFonts w:hint="eastAsia" w:ascii="黑体" w:hAnsi="黑体" w:eastAsia="黑体" w:cs="Times New Roman"/>
          <w:sz w:val="32"/>
          <w:szCs w:val="32"/>
        </w:rPr>
        <w:t>9</w:t>
      </w:r>
      <w:r>
        <w:rPr>
          <w:rFonts w:ascii="黑体" w:hAnsi="黑体" w:eastAsia="黑体" w:cs="Times New Roman"/>
          <w:sz w:val="32"/>
          <w:szCs w:val="32"/>
        </w:rPr>
        <w:t>年社会保险基金预算收支决算情况</w:t>
      </w:r>
    </w:p>
    <w:p>
      <w:pPr>
        <w:snapToGrid/>
        <w:spacing w:after="0" w:line="360" w:lineRule="auto"/>
        <w:ind w:firstLine="619" w:firstLineChars="196"/>
        <w:contextualSpacing/>
        <w:jc w:val="both"/>
        <w:rPr>
          <w:rFonts w:ascii="仿宋_GB2312" w:eastAsia="仿宋_GB2312" w:cs="Times New Roman"/>
          <w:sz w:val="32"/>
          <w:szCs w:val="32"/>
        </w:rPr>
      </w:pPr>
      <w:r>
        <w:rPr>
          <w:rFonts w:hint="eastAsia" w:ascii="仿宋_GB2312" w:eastAsia="仿宋_GB2312" w:cs="Times New Roman"/>
          <w:spacing w:val="-2"/>
          <w:sz w:val="32"/>
          <w:szCs w:val="32"/>
        </w:rPr>
        <w:t>2019年社会保险基金收入68641万元，支出61517万元，当年结余7124万元，年末滚存结余38946万元。其中：</w:t>
      </w:r>
    </w:p>
    <w:p>
      <w:pPr>
        <w:snapToGrid/>
        <w:spacing w:after="0" w:line="360" w:lineRule="auto"/>
        <w:ind w:firstLine="632" w:firstLineChars="200"/>
        <w:contextualSpacing/>
        <w:jc w:val="both"/>
        <w:rPr>
          <w:rFonts w:ascii="仿宋_GB2312" w:hAnsi="Times New Roman" w:eastAsia="仿宋_GB2312" w:cs="Times New Roman"/>
          <w:sz w:val="32"/>
          <w:szCs w:val="32"/>
        </w:rPr>
      </w:pPr>
      <w:r>
        <w:rPr>
          <w:rFonts w:hint="eastAsia" w:ascii="仿宋_GB2312" w:hAnsi="Times New Roman" w:eastAsia="仿宋_GB2312" w:cs="Times New Roman"/>
          <w:spacing w:val="-2"/>
          <w:sz w:val="32"/>
          <w:szCs w:val="32"/>
        </w:rPr>
        <w:t>1、机关事业单位基本养老保险基金：</w:t>
      </w:r>
      <w:r>
        <w:rPr>
          <w:rFonts w:hint="eastAsia" w:ascii="仿宋_GB2312" w:hAnsi="Times New Roman" w:eastAsia="仿宋_GB2312" w:cs="Times New Roman"/>
          <w:sz w:val="32"/>
          <w:szCs w:val="32"/>
        </w:rPr>
        <w:t>当年收入25530万元，当年支出25530万元，较年初预算增加144万元，收支相抵，当年无结余。</w:t>
      </w:r>
    </w:p>
    <w:p>
      <w:pPr>
        <w:snapToGrid/>
        <w:spacing w:after="0" w:line="360" w:lineRule="auto"/>
        <w:ind w:firstLine="632" w:firstLineChars="200"/>
        <w:contextualSpacing/>
        <w:jc w:val="both"/>
        <w:rPr>
          <w:rFonts w:ascii="仿宋_GB2312" w:hAnsi="Times New Roman" w:eastAsia="仿宋_GB2312" w:cs="Times New Roman"/>
          <w:sz w:val="32"/>
          <w:szCs w:val="32"/>
        </w:rPr>
      </w:pPr>
      <w:r>
        <w:rPr>
          <w:rFonts w:hint="eastAsia" w:ascii="仿宋_GB2312" w:hAnsi="Times New Roman" w:eastAsia="仿宋_GB2312" w:cs="Times New Roman"/>
          <w:spacing w:val="-2"/>
          <w:sz w:val="32"/>
          <w:szCs w:val="32"/>
        </w:rPr>
        <w:t>2、城乡居民基本养老保险基金：</w:t>
      </w:r>
      <w:r>
        <w:rPr>
          <w:rFonts w:hint="eastAsia" w:ascii="仿宋_GB2312" w:hAnsi="Times New Roman" w:eastAsia="仿宋_GB2312" w:cs="Times New Roman"/>
          <w:sz w:val="32"/>
          <w:szCs w:val="32"/>
        </w:rPr>
        <w:t>当年收入16919万元，当年支出10750万元，当年结余6169万元，年末滚存结余35340万元。</w:t>
      </w:r>
    </w:p>
    <w:p>
      <w:pPr>
        <w:snapToGrid/>
        <w:spacing w:after="0" w:line="360" w:lineRule="auto"/>
        <w:ind w:left="167" w:leftChars="76" w:firstLine="474" w:firstLineChars="150"/>
        <w:contextualSpacing/>
        <w:jc w:val="both"/>
        <w:rPr>
          <w:rFonts w:eastAsia="仿宋"/>
          <w:sz w:val="32"/>
          <w:szCs w:val="32"/>
        </w:rPr>
      </w:pPr>
      <w:r>
        <w:rPr>
          <w:rFonts w:hint="eastAsia" w:ascii="仿宋_GB2312" w:hAnsi="Times New Roman" w:eastAsia="仿宋_GB2312" w:cs="Times New Roman"/>
          <w:spacing w:val="-2"/>
          <w:sz w:val="32"/>
          <w:szCs w:val="32"/>
        </w:rPr>
        <w:t>3、城乡居民基本医疗保险基金：</w:t>
      </w:r>
      <w:r>
        <w:rPr>
          <w:rFonts w:hint="eastAsia" w:ascii="仿宋_GB2312" w:hAnsi="Times New Roman" w:eastAsia="仿宋_GB2312" w:cs="Times New Roman"/>
          <w:sz w:val="32"/>
          <w:szCs w:val="32"/>
        </w:rPr>
        <w:t>当年收入26192万元，当年支出25237万元，当年结余955万元，年末滚存结余3606万元。</w:t>
      </w:r>
    </w:p>
    <w:p>
      <w:pPr>
        <w:snapToGrid/>
        <w:spacing w:line="600" w:lineRule="exact"/>
        <w:ind w:firstLine="632" w:firstLineChars="200"/>
        <w:jc w:val="both"/>
        <w:rPr>
          <w:rFonts w:ascii="Times New Roman" w:hAnsi="Times New Roman" w:eastAsia="黑体" w:cs="Times New Roman"/>
          <w:spacing w:val="-2"/>
          <w:sz w:val="32"/>
          <w:szCs w:val="32"/>
          <w:highlight w:val="yellow"/>
        </w:rPr>
      </w:pPr>
      <w:r>
        <w:rPr>
          <w:rFonts w:ascii="Times New Roman" w:hAnsi="Times New Roman" w:eastAsia="黑体" w:cs="Times New Roman"/>
          <w:spacing w:val="-2"/>
          <w:sz w:val="32"/>
          <w:szCs w:val="32"/>
        </w:rPr>
        <w:t>五、2019年转移支付情况</w:t>
      </w:r>
    </w:p>
    <w:p>
      <w:pPr>
        <w:snapToGrid/>
        <w:spacing w:line="600" w:lineRule="exact"/>
        <w:ind w:left="167" w:leftChars="76" w:firstLine="476" w:firstLineChars="150"/>
        <w:jc w:val="both"/>
        <w:rPr>
          <w:rFonts w:ascii="Times New Roman" w:hAnsi="Times New Roman" w:eastAsia="仿宋_GB2312" w:cs="Times New Roman"/>
          <w:sz w:val="32"/>
          <w:szCs w:val="32"/>
        </w:rPr>
      </w:pPr>
      <w:r>
        <w:rPr>
          <w:rFonts w:hint="eastAsia" w:ascii="仿宋_GB2312" w:hAnsi="Times New Roman" w:eastAsia="仿宋_GB2312" w:cs="Times New Roman"/>
          <w:b/>
          <w:spacing w:val="-2"/>
          <w:sz w:val="32"/>
          <w:szCs w:val="32"/>
        </w:rPr>
        <w:t>（一）一般公共预算转移支付情况。</w:t>
      </w:r>
      <w:r>
        <w:rPr>
          <w:rFonts w:ascii="Times New Roman" w:hAnsi="Times New Roman" w:eastAsia="仿宋_GB2312" w:cs="Times New Roman"/>
          <w:spacing w:val="-2"/>
          <w:sz w:val="32"/>
          <w:szCs w:val="32"/>
        </w:rPr>
        <w:t>2019年上级下达我县一般公共预算转移支</w:t>
      </w:r>
      <w:r>
        <w:rPr>
          <w:rFonts w:ascii="Times New Roman" w:hAnsi="Times New Roman" w:eastAsia="仿宋_GB2312" w:cs="Times New Roman"/>
          <w:sz w:val="32"/>
          <w:szCs w:val="32"/>
        </w:rPr>
        <w:t>付227926万元，较上年减少25489万元，下降10.06%。其中：税收返还性收入3918万元，一般性转移支付</w:t>
      </w:r>
      <w:r>
        <w:rPr>
          <w:rFonts w:hint="eastAsia" w:ascii="Times New Roman" w:hAnsi="Times New Roman" w:eastAsia="仿宋_GB2312" w:cs="Times New Roman"/>
          <w:sz w:val="32"/>
          <w:szCs w:val="32"/>
        </w:rPr>
        <w:t>203657</w:t>
      </w:r>
      <w:r>
        <w:rPr>
          <w:rFonts w:ascii="Times New Roman" w:hAnsi="Times New Roman" w:eastAsia="仿宋_GB2312" w:cs="Times New Roman"/>
          <w:sz w:val="32"/>
          <w:szCs w:val="32"/>
        </w:rPr>
        <w:t>万元，专项转移支付</w:t>
      </w:r>
      <w:r>
        <w:rPr>
          <w:rFonts w:hint="eastAsia" w:ascii="Times New Roman" w:hAnsi="Times New Roman" w:eastAsia="仿宋_GB2312" w:cs="Times New Roman"/>
          <w:sz w:val="32"/>
          <w:szCs w:val="32"/>
        </w:rPr>
        <w:t>20351</w:t>
      </w:r>
      <w:r>
        <w:rPr>
          <w:rFonts w:ascii="Times New Roman" w:hAnsi="Times New Roman" w:eastAsia="仿宋_GB2312" w:cs="Times New Roman"/>
          <w:sz w:val="32"/>
          <w:szCs w:val="32"/>
        </w:rPr>
        <w:t>万元。</w:t>
      </w:r>
    </w:p>
    <w:p>
      <w:pPr>
        <w:snapToGrid/>
        <w:spacing w:line="600" w:lineRule="exact"/>
        <w:ind w:left="167" w:leftChars="76" w:firstLine="476" w:firstLineChars="150"/>
        <w:jc w:val="both"/>
        <w:rPr>
          <w:rFonts w:ascii="Times New Roman" w:hAnsi="Times New Roman" w:eastAsia="仿宋_GB2312" w:cs="Times New Roman"/>
          <w:spacing w:val="-2"/>
          <w:sz w:val="32"/>
          <w:szCs w:val="32"/>
        </w:rPr>
      </w:pPr>
      <w:r>
        <w:rPr>
          <w:rFonts w:hint="eastAsia" w:ascii="仿宋_GB2312" w:hAnsi="Times New Roman" w:eastAsia="仿宋_GB2312" w:cs="Times New Roman"/>
          <w:b/>
          <w:spacing w:val="-2"/>
          <w:sz w:val="32"/>
          <w:szCs w:val="32"/>
        </w:rPr>
        <w:t>（二）政府性基金预算转移支付情况。</w:t>
      </w:r>
      <w:r>
        <w:rPr>
          <w:rFonts w:ascii="Times New Roman" w:hAnsi="Times New Roman" w:eastAsia="仿宋_GB2312" w:cs="Times New Roman"/>
          <w:spacing w:val="-2"/>
          <w:sz w:val="32"/>
          <w:szCs w:val="32"/>
        </w:rPr>
        <w:t>2019年上级下达我县政府性基金转移支付2110万元，较上年增加235万元，增长12.53%，全部为专项转移支付收入。</w:t>
      </w:r>
    </w:p>
    <w:p>
      <w:pPr>
        <w:widowControl w:val="0"/>
        <w:adjustRightInd/>
        <w:snapToGrid/>
        <w:spacing w:line="60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黑体" w:cs="Times New Roman"/>
          <w:spacing w:val="-2"/>
          <w:sz w:val="32"/>
          <w:szCs w:val="32"/>
        </w:rPr>
        <w:t>六</w:t>
      </w:r>
      <w:r>
        <w:rPr>
          <w:rFonts w:ascii="Times New Roman" w:hAnsi="Times New Roman" w:eastAsia="黑体" w:cs="Times New Roman"/>
          <w:spacing w:val="-2"/>
          <w:sz w:val="32"/>
          <w:szCs w:val="32"/>
        </w:rPr>
        <w:t>、201</w:t>
      </w:r>
      <w:r>
        <w:rPr>
          <w:rFonts w:hint="eastAsia" w:ascii="Times New Roman" w:hAnsi="Times New Roman" w:eastAsia="黑体" w:cs="Times New Roman"/>
          <w:spacing w:val="-2"/>
          <w:sz w:val="32"/>
          <w:szCs w:val="32"/>
        </w:rPr>
        <w:t>9</w:t>
      </w:r>
      <w:r>
        <w:rPr>
          <w:rFonts w:ascii="Times New Roman" w:hAnsi="Times New Roman" w:eastAsia="黑体" w:cs="Times New Roman"/>
          <w:spacing w:val="-2"/>
          <w:sz w:val="32"/>
          <w:szCs w:val="32"/>
        </w:rPr>
        <w:t>年县对镇转移支付情况</w:t>
      </w:r>
    </w:p>
    <w:p>
      <w:pPr>
        <w:snapToGrid/>
        <w:spacing w:line="600" w:lineRule="exact"/>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sz w:val="32"/>
          <w:szCs w:val="32"/>
        </w:rPr>
        <w:t>2019年县对镇转移支付补助20127万元，其中人员经费补助11912万元，公用及业务经费补助483万元，专项补助320万元，村级（社区）补助2522万元(不含县本级列支的社区补助支出)，项目经费补助4890万元（含中省市各级项目补助）。</w:t>
      </w:r>
    </w:p>
    <w:p>
      <w:pPr>
        <w:snapToGrid/>
        <w:spacing w:line="600" w:lineRule="exact"/>
        <w:ind w:left="167" w:leftChars="76" w:firstLine="474" w:firstLineChars="150"/>
        <w:jc w:val="both"/>
        <w:rPr>
          <w:rFonts w:ascii="Times New Roman" w:hAnsi="Times New Roman" w:eastAsia="黑体" w:cs="Times New Roman"/>
          <w:sz w:val="32"/>
          <w:szCs w:val="32"/>
        </w:rPr>
      </w:pPr>
      <w:r>
        <w:rPr>
          <w:rFonts w:ascii="Times New Roman" w:hAnsi="Times New Roman" w:eastAsia="黑体" w:cs="Times New Roman"/>
          <w:spacing w:val="-2"/>
          <w:sz w:val="32"/>
          <w:szCs w:val="32"/>
        </w:rPr>
        <w:t>七、</w:t>
      </w:r>
      <w:r>
        <w:rPr>
          <w:rFonts w:ascii="Times New Roman" w:hAnsi="Times New Roman" w:eastAsia="黑体" w:cs="Times New Roman"/>
          <w:sz w:val="32"/>
          <w:szCs w:val="32"/>
        </w:rPr>
        <w:t>勉县地方政府债务情况</w:t>
      </w:r>
    </w:p>
    <w:p>
      <w:pPr>
        <w:snapToGrid/>
        <w:spacing w:line="600" w:lineRule="exact"/>
        <w:ind w:left="167" w:leftChars="76" w:firstLine="476" w:firstLineChars="150"/>
        <w:jc w:val="both"/>
        <w:rPr>
          <w:rFonts w:ascii="仿宋_GB2312" w:hAnsi="Times New Roman" w:eastAsia="仿宋_GB2312" w:cs="Times New Roman"/>
          <w:b/>
          <w:spacing w:val="-2"/>
          <w:sz w:val="32"/>
          <w:szCs w:val="32"/>
        </w:rPr>
      </w:pPr>
      <w:r>
        <w:rPr>
          <w:rFonts w:hint="eastAsia" w:ascii="仿宋_GB2312" w:hAnsi="Times New Roman" w:eastAsia="仿宋_GB2312" w:cs="Times New Roman"/>
          <w:b/>
          <w:spacing w:val="-2"/>
          <w:sz w:val="32"/>
          <w:szCs w:val="32"/>
        </w:rPr>
        <w:t>（一）上级核准我县地方政府债务限额情况</w:t>
      </w:r>
    </w:p>
    <w:p>
      <w:pPr>
        <w:snapToGrid/>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2019年市财政局核定并下达我县的地方政府债务限额为305918万元，其中一般债务限额160633万元，专项债务限额145285万元。与上年相比新增债务限额58265万元，其中新增一般债务限额30165万元（含外债转贷426万元），新增专项债务限额28100万元。2019年中央收回我县置换债务未使用完的限额3300万元（其中一般债务限额3300万元）。</w:t>
      </w:r>
    </w:p>
    <w:p>
      <w:pPr>
        <w:snapToGrid/>
        <w:spacing w:line="600" w:lineRule="exact"/>
        <w:ind w:left="167" w:leftChars="76" w:firstLine="476" w:firstLineChars="150"/>
        <w:jc w:val="both"/>
        <w:rPr>
          <w:rFonts w:ascii="仿宋_GB2312" w:hAnsi="Times New Roman" w:eastAsia="仿宋_GB2312" w:cs="Times New Roman"/>
          <w:b/>
          <w:spacing w:val="-2"/>
          <w:sz w:val="32"/>
          <w:szCs w:val="32"/>
        </w:rPr>
      </w:pPr>
      <w:r>
        <w:rPr>
          <w:rFonts w:hint="eastAsia" w:ascii="仿宋_GB2312" w:hAnsi="Times New Roman" w:eastAsia="仿宋_GB2312" w:cs="Times New Roman"/>
          <w:b/>
          <w:spacing w:val="-2"/>
          <w:sz w:val="32"/>
          <w:szCs w:val="32"/>
        </w:rPr>
        <w:t>（二）地方政府债务余额情况</w:t>
      </w:r>
    </w:p>
    <w:p>
      <w:pPr>
        <w:snapToGrid/>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预算法》和《国务院关于加强地方政府性债务管理的意见》（国发〔2014〕43号）要求，我县通过强化债务管理、严格预算约束、完善配套制度，妥善化解存量，使得2019年政府债务规模得到了有效控制，截至2019年底，全县地方政府债务余额253975 万元，其中一般债务余额 130546万元，专项债务余额123429万元，未突破上级核准的债务限额，债务风险总体可控。</w:t>
      </w:r>
    </w:p>
    <w:p>
      <w:pPr>
        <w:snapToGrid/>
        <w:spacing w:line="600" w:lineRule="exact"/>
        <w:ind w:left="167" w:leftChars="76" w:firstLine="476" w:firstLineChars="150"/>
        <w:jc w:val="both"/>
        <w:rPr>
          <w:rFonts w:ascii="仿宋_GB2312" w:hAnsi="Times New Roman" w:eastAsia="仿宋_GB2312" w:cs="Times New Roman"/>
          <w:b/>
          <w:spacing w:val="-2"/>
          <w:sz w:val="32"/>
          <w:szCs w:val="32"/>
        </w:rPr>
      </w:pPr>
      <w:r>
        <w:rPr>
          <w:rFonts w:hint="eastAsia" w:ascii="仿宋_GB2312" w:hAnsi="Times New Roman" w:eastAsia="仿宋_GB2312" w:cs="Times New Roman"/>
          <w:b/>
          <w:spacing w:val="-2"/>
          <w:sz w:val="32"/>
          <w:szCs w:val="32"/>
        </w:rPr>
        <w:t>（三）新增债务情况</w:t>
      </w:r>
    </w:p>
    <w:p>
      <w:pPr>
        <w:snapToGrid/>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2019年上级转贷我县地方政府债券91080万元，其中：新增债券57839万元，均按规定用于全县易地扶贫搬迁、脱贫攻坚、棚户区改造、公立医院建设等有关项目支出；再融资债券33241万元，全部用于偿还2019年到期政府债券本金。</w:t>
      </w:r>
    </w:p>
    <w:p>
      <w:pPr>
        <w:snapToGrid/>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2019年我县开展了国际金融合作，计划使用国际农发基金外债转贷资金620万美元，截</w:t>
      </w:r>
      <w:r>
        <w:rPr>
          <w:rFonts w:hint="eastAsia" w:ascii="Times New Roman" w:hAnsi="Times New Roman" w:eastAsia="仿宋_GB2312" w:cs="Times New Roman"/>
          <w:sz w:val="32"/>
          <w:szCs w:val="32"/>
          <w:lang w:val="en-US" w:eastAsia="zh-CN"/>
        </w:rPr>
        <w:t>至</w:t>
      </w:r>
      <w:r>
        <w:rPr>
          <w:rFonts w:ascii="Times New Roman" w:hAnsi="Times New Roman" w:eastAsia="仿宋_GB2312" w:cs="Times New Roman"/>
          <w:sz w:val="32"/>
          <w:szCs w:val="32"/>
        </w:rPr>
        <w:t>2019年底已实际提款到位697.8万元人民币，全部用于精准扶贫特色水果产业项目。</w:t>
      </w:r>
    </w:p>
    <w:p>
      <w:pPr>
        <w:snapToGrid/>
        <w:spacing w:line="600" w:lineRule="exact"/>
        <w:ind w:firstLine="632" w:firstLineChars="200"/>
        <w:jc w:val="both"/>
        <w:rPr>
          <w:rFonts w:ascii="Times New Roman" w:hAnsi="Times New Roman" w:eastAsia="黑体" w:cs="Times New Roman"/>
          <w:spacing w:val="-2"/>
          <w:sz w:val="32"/>
          <w:szCs w:val="32"/>
        </w:rPr>
      </w:pPr>
      <w:r>
        <w:rPr>
          <w:rFonts w:ascii="Times New Roman" w:hAnsi="Times New Roman" w:eastAsia="黑体" w:cs="Times New Roman"/>
          <w:spacing w:val="-2"/>
          <w:sz w:val="32"/>
          <w:szCs w:val="32"/>
        </w:rPr>
        <w:t>八、2019年预算执行特点及财政主要工作</w:t>
      </w:r>
    </w:p>
    <w:p>
      <w:pPr>
        <w:snapToGrid/>
        <w:spacing w:line="600" w:lineRule="exact"/>
        <w:ind w:firstLine="635" w:firstLineChars="200"/>
        <w:jc w:val="both"/>
        <w:rPr>
          <w:rFonts w:ascii="Times New Roman" w:hAnsi="Times New Roman" w:eastAsia="仿宋_GB2312" w:cs="Times New Roman"/>
          <w:sz w:val="32"/>
          <w:szCs w:val="32"/>
          <w:highlight w:val="yellow"/>
        </w:rPr>
      </w:pPr>
      <w:r>
        <w:rPr>
          <w:rFonts w:hint="eastAsia" w:ascii="仿宋_GB2312" w:hAnsi="Times New Roman" w:eastAsia="仿宋_GB2312" w:cs="Times New Roman"/>
          <w:b/>
          <w:spacing w:val="-2"/>
          <w:sz w:val="32"/>
          <w:szCs w:val="32"/>
        </w:rPr>
        <w:t>（一）财政收入克难增长。</w:t>
      </w:r>
      <w:r>
        <w:rPr>
          <w:rFonts w:ascii="Times New Roman" w:hAnsi="Times New Roman" w:eastAsia="仿宋_GB2312" w:cs="Times New Roman"/>
          <w:sz w:val="32"/>
          <w:szCs w:val="32"/>
        </w:rPr>
        <w:t>2019年，在全面贯彻落实减税降费政策的同时，财税部门精心谋划、主动作为、依法征管、充分挖潜，有效弥补了减收缺口，为撤县设市指标全面达标奠定了坚实基础。</w:t>
      </w:r>
      <w:r>
        <w:rPr>
          <w:rFonts w:ascii="Times New Roman" w:hAnsi="Times New Roman" w:eastAsia="仿宋_GB2312" w:cs="Times New Roman"/>
          <w:b/>
          <w:sz w:val="32"/>
          <w:szCs w:val="32"/>
        </w:rPr>
        <w:t>一是加强税源分析研判。</w:t>
      </w:r>
      <w:r>
        <w:rPr>
          <w:rFonts w:ascii="Times New Roman" w:hAnsi="Times New Roman" w:eastAsia="仿宋_GB2312" w:cs="Times New Roman"/>
          <w:sz w:val="32"/>
          <w:szCs w:val="32"/>
        </w:rPr>
        <w:t>年初及早动手开展调研分析，针对撤县设市目标，全面摸排税源，科学合理分解征收任务，并按月夯实收入目标责任，做到以月保季，以季保年，在此基础上，认真测算减税降费政策对财政收入的影响，合理调整预期目标。</w:t>
      </w:r>
      <w:r>
        <w:rPr>
          <w:rFonts w:ascii="Times New Roman" w:hAnsi="Times New Roman" w:eastAsia="仿宋_GB2312" w:cs="Times New Roman"/>
          <w:b/>
          <w:sz w:val="32"/>
          <w:szCs w:val="32"/>
        </w:rPr>
        <w:t>二是依法强化税收征管。</w:t>
      </w:r>
      <w:r>
        <w:rPr>
          <w:rFonts w:ascii="Times New Roman" w:hAnsi="Times New Roman" w:eastAsia="仿宋_GB2312" w:cs="Times New Roman"/>
          <w:sz w:val="32"/>
          <w:szCs w:val="32"/>
        </w:rPr>
        <w:t>加强对重点税源企业、重点投资项目涉税信息的实时监控, 并充分利用国有资产资源使用、土地房产交易等综合涉税信息，精准掌握税基税源；坚持抓大不放小，在抓重点税源的同时，加强对群体性税源的监控，确保财政收入应收尽收和及时足额入库。</w:t>
      </w:r>
      <w:r>
        <w:rPr>
          <w:rFonts w:ascii="Times New Roman" w:hAnsi="Times New Roman" w:eastAsia="仿宋_GB2312" w:cs="Times New Roman"/>
          <w:b/>
          <w:sz w:val="32"/>
          <w:szCs w:val="32"/>
        </w:rPr>
        <w:t>三是健全协税护税机制。</w:t>
      </w:r>
      <w:r>
        <w:rPr>
          <w:rFonts w:ascii="Times New Roman" w:hAnsi="Times New Roman" w:eastAsia="仿宋_GB2312" w:cs="Times New Roman"/>
          <w:sz w:val="32"/>
          <w:szCs w:val="32"/>
        </w:rPr>
        <w:t>推动财税部门和协税、护税部门联动，进一步完善税收联席会议制度,及时研究解决税收征管中出现的问题，共同做好税收管控。</w:t>
      </w:r>
      <w:r>
        <w:rPr>
          <w:rFonts w:ascii="Times New Roman" w:hAnsi="Times New Roman" w:eastAsia="仿宋_GB2312" w:cs="Times New Roman"/>
          <w:b/>
          <w:sz w:val="32"/>
          <w:szCs w:val="32"/>
        </w:rPr>
        <w:t>四是充分挖掘收入潜力。</w:t>
      </w:r>
      <w:r>
        <w:rPr>
          <w:rFonts w:ascii="Times New Roman" w:hAnsi="Times New Roman" w:eastAsia="仿宋_GB2312" w:cs="Times New Roman"/>
          <w:sz w:val="32"/>
          <w:szCs w:val="32"/>
        </w:rPr>
        <w:t>进一步强化零散税源、外来税源管理，规范非税收入收缴管理，全力挖掘增收潜力和空间。</w:t>
      </w:r>
    </w:p>
    <w:p>
      <w:pPr>
        <w:snapToGrid/>
        <w:spacing w:line="600" w:lineRule="exact"/>
        <w:ind w:firstLine="640"/>
        <w:jc w:val="both"/>
        <w:rPr>
          <w:rFonts w:ascii="Times New Roman" w:hAnsi="Times New Roman" w:eastAsia="仿宋_GB2312" w:cs="Times New Roman"/>
          <w:b/>
          <w:bCs/>
          <w:sz w:val="32"/>
          <w:szCs w:val="32"/>
        </w:rPr>
      </w:pPr>
      <w:r>
        <w:rPr>
          <w:rFonts w:hint="eastAsia" w:ascii="仿宋_GB2312" w:hAnsi="Times New Roman" w:eastAsia="仿宋_GB2312" w:cs="Times New Roman"/>
          <w:b/>
          <w:spacing w:val="-2"/>
          <w:sz w:val="32"/>
          <w:szCs w:val="32"/>
        </w:rPr>
        <w:t>（二）重点支出有效保障。</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019年，在财政收支矛盾更加突出的情况下，进一步加大支出结构调整和统筹整合资金力度，实现了“保工资、保运转、保基本民生”目标。</w:t>
      </w:r>
      <w:r>
        <w:rPr>
          <w:rFonts w:ascii="Times New Roman" w:hAnsi="Times New Roman" w:eastAsia="仿宋_GB2312" w:cs="Times New Roman"/>
          <w:b/>
          <w:sz w:val="32"/>
          <w:szCs w:val="32"/>
        </w:rPr>
        <w:t>一是大力压缩一般性支出。</w:t>
      </w:r>
      <w:r>
        <w:rPr>
          <w:rFonts w:ascii="Times New Roman" w:hAnsi="Times New Roman" w:eastAsia="仿宋_GB2312" w:cs="Times New Roman"/>
          <w:sz w:val="32"/>
          <w:szCs w:val="32"/>
        </w:rPr>
        <w:t>牢固树立“过紧日子”思想，全面落实中省市关于压减一般性支出的政策要求，按照不低于5%的比例对各部门、镇（办）2019年一般性支出进行了压减，压减金额达302万元，全部用于民生重点支出，并从严控制三公经费，三公经费较上年下降13.4%。</w:t>
      </w:r>
      <w:r>
        <w:rPr>
          <w:rFonts w:ascii="Times New Roman" w:hAnsi="Times New Roman" w:eastAsia="仿宋_GB2312" w:cs="Times New Roman"/>
          <w:b/>
          <w:bCs/>
          <w:sz w:val="32"/>
          <w:szCs w:val="32"/>
        </w:rPr>
        <w:t>二是加大存量资金盘活力度。</w:t>
      </w:r>
      <w:r>
        <w:rPr>
          <w:rFonts w:ascii="Times New Roman" w:hAnsi="Times New Roman" w:eastAsia="仿宋" w:cs="Times New Roman"/>
          <w:sz w:val="32"/>
          <w:szCs w:val="32"/>
        </w:rPr>
        <w:t>按照上级整合盘活财政存量资金相关要求，2019年我县盘活资金范围由权责发生制列支资金、国库集中支付结余资金及两年以上财政预算内存量资金扩大至各类财政及部门、镇（办）管理的“趴窝”资金，盘活资金达10765万元，全部用于“三保”及全县重点支出，进一步提高了资金使用效益。</w:t>
      </w:r>
      <w:r>
        <w:rPr>
          <w:rFonts w:ascii="Times New Roman" w:hAnsi="Times New Roman" w:eastAsia="仿宋_GB2312" w:cs="Times New Roman"/>
          <w:b/>
          <w:sz w:val="32"/>
          <w:szCs w:val="32"/>
        </w:rPr>
        <w:t>三是兜牢兜实“三保”底线。</w:t>
      </w:r>
      <w:r>
        <w:rPr>
          <w:rFonts w:ascii="Times New Roman" w:hAnsi="Times New Roman" w:eastAsia="仿宋_GB2312" w:cs="Times New Roman"/>
          <w:bCs/>
          <w:sz w:val="32"/>
          <w:szCs w:val="32"/>
        </w:rPr>
        <w:t>按照中省确定的保障范围和标准，制定了“三保”方案，</w:t>
      </w:r>
      <w:r>
        <w:rPr>
          <w:rFonts w:ascii="Times New Roman" w:hAnsi="Times New Roman" w:eastAsia="仿宋_GB2312" w:cs="Times New Roman"/>
          <w:sz w:val="32"/>
          <w:szCs w:val="32"/>
        </w:rPr>
        <w:t>在压减一般性支出、优化支出结构的同时，大力盘活存量资金、严控预算追加、加强暂付款管理，确保了全县机关事业单位工资津贴及退休职工养老金按月足额发放到位，确保了县镇机关正常运转和全县各项基本民生政策执行到位。2019年全年民生支出27.15亿元，占财政支出的比重达86.41%。坚持教育优先发展，足额落实各项教育民生投入政策，健全生均公用经费补助、营养改善计划和贫困生资助体系，受益学生达4.67万人次，筹集资金2064万元实施义务教育薄弱环节改善与能力提升项目，投入929万元实施农村中小学校舍安全改造和厕所改造项目，不断改善办学条件；加快社会保障体系建设，各项提标政策全面落实到位，全年共拨付城乡居民养老金10438万元，70周岁以上高龄老人生活保健补贴3100万元，城乡最低生活保障金、困难群众救助资金和价格临时补贴6950万元，临时救助资金644万元，医疗救助资金1735万元；不断提高公共卫生服务保障水平，拨付基本公共卫生服务资金2578万元，公立医院改革补助3995万元，新农合医疗资金28836万元，切实缓解城乡居民“看病难、看病贵”的问题。</w:t>
      </w:r>
    </w:p>
    <w:p>
      <w:pPr>
        <w:widowControl w:val="0"/>
        <w:adjustRightInd/>
        <w:snapToGrid/>
        <w:spacing w:line="600" w:lineRule="exact"/>
        <w:ind w:firstLine="641"/>
        <w:jc w:val="both"/>
        <w:rPr>
          <w:rFonts w:ascii="Times New Roman" w:hAnsi="Times New Roman" w:eastAsia="仿宋_GB2312" w:cs="Times New Roman"/>
          <w:spacing w:val="-6"/>
          <w:sz w:val="32"/>
          <w:szCs w:val="32"/>
        </w:rPr>
      </w:pPr>
      <w:r>
        <w:rPr>
          <w:rFonts w:hint="eastAsia" w:ascii="仿宋_GB2312" w:hAnsi="楷体_GB2312" w:eastAsia="仿宋_GB2312" w:cs="楷体_GB2312"/>
          <w:b/>
          <w:spacing w:val="-2"/>
          <w:sz w:val="32"/>
          <w:szCs w:val="32"/>
        </w:rPr>
        <w:t>（三）</w:t>
      </w:r>
      <w:r>
        <w:rPr>
          <w:rFonts w:hint="eastAsia" w:ascii="仿宋_GB2312" w:hAnsi="楷体_GB2312" w:eastAsia="仿宋_GB2312" w:cs="楷体_GB2312"/>
          <w:b/>
          <w:bCs/>
          <w:sz w:val="32"/>
          <w:szCs w:val="32"/>
        </w:rPr>
        <w:t>三大攻坚战支持有力。</w:t>
      </w:r>
      <w:r>
        <w:rPr>
          <w:rFonts w:ascii="Times New Roman" w:hAnsi="Times New Roman" w:eastAsia="仿宋_GB2312" w:cs="Times New Roman"/>
          <w:b/>
          <w:sz w:val="32"/>
          <w:szCs w:val="32"/>
        </w:rPr>
        <w:t>防范化解重大风险方面，</w:t>
      </w:r>
      <w:r>
        <w:rPr>
          <w:rFonts w:ascii="Times New Roman" w:hAnsi="Times New Roman" w:eastAsia="仿宋_GB2312" w:cs="Times New Roman"/>
          <w:bCs/>
          <w:sz w:val="32"/>
          <w:szCs w:val="32"/>
        </w:rPr>
        <w:t>加强政府性债务管理体系建设，印发</w:t>
      </w:r>
      <w:r>
        <w:rPr>
          <w:rFonts w:ascii="Times New Roman" w:hAnsi="Times New Roman" w:eastAsia="仿宋_GB2312" w:cs="Times New Roman"/>
          <w:sz w:val="32"/>
          <w:szCs w:val="32"/>
        </w:rPr>
        <w:t>了《勉县政府债务管理实施细则》和《关于进一步加强政府投资项目管理防范政府性债务风险的通知》，进一步规范政府性债务管理。制定《勉县政府法定债务风险化解方案》，</w:t>
      </w:r>
      <w:r>
        <w:rPr>
          <w:rFonts w:ascii="Times New Roman" w:hAnsi="Times New Roman" w:eastAsia="仿宋_GB2312" w:cs="Times New Roman"/>
          <w:bCs/>
          <w:sz w:val="32"/>
          <w:szCs w:val="32"/>
        </w:rPr>
        <w:t>积极向省财政申请发行再融资债券33241万元，缓解到期债务偿还压力，全面落实债券还本付息和隐性债务偿还化解工作，有效降低政府</w:t>
      </w:r>
      <w:r>
        <w:rPr>
          <w:rFonts w:ascii="Times New Roman" w:hAnsi="Times New Roman" w:eastAsia="仿宋_GB2312" w:cs="Times New Roman"/>
          <w:sz w:val="32"/>
          <w:szCs w:val="32"/>
        </w:rPr>
        <w:t>债务风险。</w:t>
      </w:r>
      <w:r>
        <w:rPr>
          <w:rFonts w:ascii="Times New Roman" w:hAnsi="Times New Roman" w:eastAsia="仿宋_GB2312" w:cs="Times New Roman"/>
          <w:b/>
          <w:sz w:val="32"/>
          <w:szCs w:val="32"/>
        </w:rPr>
        <w:t>精准脱贫方面，</w:t>
      </w:r>
      <w:r>
        <w:rPr>
          <w:rFonts w:ascii="Times New Roman" w:hAnsi="Times New Roman" w:eastAsia="仿宋_GB2312" w:cs="Times New Roman"/>
          <w:color w:val="000000"/>
          <w:sz w:val="32"/>
          <w:szCs w:val="32"/>
        </w:rPr>
        <w:t>不断加大脱贫攻坚资金投入</w:t>
      </w:r>
      <w:r>
        <w:rPr>
          <w:rFonts w:ascii="Times New Roman" w:hAnsi="Times New Roman" w:eastAsia="仿宋_GB2312" w:cs="Times New Roman"/>
          <w:sz w:val="32"/>
          <w:szCs w:val="32"/>
        </w:rPr>
        <w:t>，2019年</w:t>
      </w:r>
      <w:r>
        <w:rPr>
          <w:rFonts w:ascii="Times New Roman" w:hAnsi="Times New Roman" w:eastAsia="仿宋_GB2312" w:cs="Times New Roman"/>
          <w:color w:val="000000"/>
          <w:sz w:val="32"/>
          <w:szCs w:val="32"/>
        </w:rPr>
        <w:t>足额落实扶贫县级配套资金2100万元，占全年地方财政收入计划的5%，同比增长20%，落实第一书记、驻村工作队工作经费县配资金44.4万元，农村危房改造县配资金91.85万元，建档立卡贫困人口参加新农合个人缴费和补充医疗保障县配资金694万元，并筹集拨付贫困村人居环境改善资金3000万元，建档立卡易地扶贫搬迁户困难救助资金800万元,“两不愁三保障”突出问题整改化解资金1050万元，为全县脱贫摘帽奠定了坚实基础。全面开展涉农资金整合，</w:t>
      </w:r>
      <w:r>
        <w:rPr>
          <w:rFonts w:ascii="Times New Roman" w:hAnsi="Times New Roman" w:eastAsia="仿宋_GB2312" w:cs="Times New Roman"/>
          <w:sz w:val="32"/>
          <w:szCs w:val="32"/>
        </w:rPr>
        <w:t>2019年整合涉农资金30585.35万元，拨付率100%，报账支出完成27731.67万元,整合资金支出进度为90.67%（其中扶贫专项资金支出进度达94.96%）</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加强扶贫资金监管，健全扶贫资金动态监控机制，</w:t>
      </w:r>
      <w:r>
        <w:rPr>
          <w:rFonts w:ascii="Times New Roman" w:hAnsi="Times New Roman" w:eastAsia="仿宋_GB2312" w:cs="Times New Roman"/>
          <w:bCs/>
          <w:sz w:val="32"/>
          <w:szCs w:val="32"/>
        </w:rPr>
        <w:t>出台了《勉县财政扶贫资金动态监控工作规程》，全时段跟踪监控扶贫资金支出进度和绩效目标填报质量。</w:t>
      </w:r>
      <w:r>
        <w:rPr>
          <w:rFonts w:ascii="Times New Roman" w:hAnsi="Times New Roman" w:eastAsia="仿宋_GB2312" w:cs="Times New Roman"/>
          <w:sz w:val="32"/>
          <w:szCs w:val="32"/>
        </w:rPr>
        <w:t>开展镇村财务及村级集体经济组织财务培训，持续开展财政督导检查，力促项目建设和基层基础管理水平有效提升</w:t>
      </w:r>
      <w:r>
        <w:rPr>
          <w:rFonts w:ascii="Times New Roman" w:hAnsi="Times New Roman" w:eastAsia="仿宋" w:cs="Times New Roman"/>
          <w:sz w:val="32"/>
          <w:szCs w:val="32"/>
        </w:rPr>
        <w:t>。</w:t>
      </w:r>
      <w:r>
        <w:rPr>
          <w:rFonts w:ascii="Times New Roman" w:hAnsi="Times New Roman" w:eastAsia="仿宋_GB2312" w:cs="Times New Roman"/>
          <w:sz w:val="32"/>
          <w:szCs w:val="32"/>
        </w:rPr>
        <w:t>在全省2019年财政专项扶贫资金和财政涉农整合资金绩效评价管理工作中，</w:t>
      </w:r>
      <w:r>
        <w:rPr>
          <w:rFonts w:ascii="Times New Roman" w:hAnsi="Times New Roman" w:eastAsia="仿宋_GB2312" w:cs="Times New Roman"/>
          <w:spacing w:val="-6"/>
          <w:sz w:val="32"/>
          <w:szCs w:val="32"/>
        </w:rPr>
        <w:t>我县荣获优秀“A级”名次。</w:t>
      </w:r>
      <w:r>
        <w:rPr>
          <w:rFonts w:ascii="Times New Roman" w:hAnsi="Times New Roman" w:eastAsia="仿宋_GB2312" w:cs="Times New Roman"/>
          <w:b/>
          <w:spacing w:val="-6"/>
          <w:sz w:val="32"/>
          <w:szCs w:val="32"/>
        </w:rPr>
        <w:t>污染防治方面，</w:t>
      </w:r>
      <w:r>
        <w:rPr>
          <w:rFonts w:ascii="Times New Roman" w:hAnsi="Times New Roman" w:eastAsia="仿宋_GB2312" w:cs="Times New Roman"/>
          <w:spacing w:val="-6"/>
          <w:sz w:val="32"/>
          <w:szCs w:val="32"/>
        </w:rPr>
        <w:t>投入资金9000余万元支持全县污水垃圾处理、大气污染防治、矿山生态环境治理、秦巴生态环境保护、环境监测及环保督察等各项环保重点工作的顺利开展，2019年节能环保支出同比增长82.2%。</w:t>
      </w:r>
    </w:p>
    <w:p>
      <w:pPr>
        <w:snapToGrid/>
        <w:spacing w:line="600" w:lineRule="exact"/>
        <w:ind w:firstLine="635" w:firstLineChars="200"/>
        <w:jc w:val="both"/>
        <w:rPr>
          <w:rFonts w:ascii="Times New Roman" w:hAnsi="Times New Roman" w:eastAsia="仿宋_GB2312" w:cs="Times New Roman"/>
          <w:sz w:val="32"/>
          <w:szCs w:val="32"/>
        </w:rPr>
      </w:pPr>
      <w:r>
        <w:rPr>
          <w:rFonts w:hint="eastAsia" w:ascii="仿宋_GB2312" w:hAnsi="Times New Roman" w:eastAsia="仿宋_GB2312" w:cs="Times New Roman"/>
          <w:b/>
          <w:spacing w:val="-2"/>
          <w:sz w:val="32"/>
          <w:szCs w:val="32"/>
        </w:rPr>
        <w:t>（四）服务经济成效明显。</w:t>
      </w:r>
      <w:r>
        <w:rPr>
          <w:rFonts w:ascii="Times New Roman" w:hAnsi="Times New Roman" w:eastAsia="仿宋_GB2312" w:cs="Times New Roman"/>
          <w:b/>
          <w:sz w:val="32"/>
          <w:szCs w:val="32"/>
        </w:rPr>
        <w:t>一是持续优化财税营商环境。</w:t>
      </w:r>
      <w:r>
        <w:rPr>
          <w:rFonts w:ascii="Times New Roman" w:hAnsi="Times New Roman" w:eastAsia="仿宋_GB2312" w:cs="Times New Roman"/>
          <w:sz w:val="32"/>
          <w:szCs w:val="32"/>
        </w:rPr>
        <w:t>不折不扣落实中省降低增值税税率、小微企业普惠性减税、个人所得税专项附加扣除等减税降费政策，出台《全面落实中央和省减税降费政策实施方案》，开展多种形式宣传，确保减税降费政策落实落细，2019年全县累计减税降费2.2亿元，切实减轻了企业负担，有效激发了企业发展活力。</w:t>
      </w:r>
      <w:r>
        <w:rPr>
          <w:rFonts w:ascii="Times New Roman" w:hAnsi="Times New Roman" w:eastAsia="仿宋_GB2312" w:cs="Times New Roman"/>
          <w:b/>
          <w:bCs/>
          <w:sz w:val="32"/>
          <w:szCs w:val="32"/>
        </w:rPr>
        <w:t>二是</w:t>
      </w:r>
      <w:r>
        <w:rPr>
          <w:rFonts w:ascii="Times New Roman" w:hAnsi="Times New Roman" w:eastAsia="仿宋_GB2312" w:cs="Times New Roman"/>
          <w:b/>
          <w:sz w:val="32"/>
          <w:szCs w:val="32"/>
        </w:rPr>
        <w:t>积极争资支持重点项目。</w:t>
      </w:r>
      <w:r>
        <w:rPr>
          <w:rFonts w:ascii="Times New Roman" w:hAnsi="Times New Roman" w:eastAsia="仿宋_GB2312" w:cs="Times New Roman"/>
          <w:sz w:val="32"/>
          <w:szCs w:val="32"/>
        </w:rPr>
        <w:t>2019年全县争取新增债券57839万元，争取国际农发基金贷款620万美元（折合人民币约4200万元），世行贷款勉县可持续城镇发展项目已通过省财政项目评审，有效弥补了易地扶贫搬迁、脱贫攻坚、棚户区改造、公立医院等重点公益性项目建设的资金缺口，在稳投资中发挥了重要作用。</w:t>
      </w:r>
      <w:r>
        <w:rPr>
          <w:rFonts w:ascii="Times New Roman" w:hAnsi="Times New Roman" w:eastAsia="仿宋_GB2312" w:cs="Times New Roman"/>
          <w:b/>
          <w:bCs/>
          <w:sz w:val="32"/>
          <w:szCs w:val="32"/>
        </w:rPr>
        <w:t>三是创新投入方式。</w:t>
      </w:r>
      <w:r>
        <w:rPr>
          <w:rFonts w:ascii="Times New Roman" w:hAnsi="Times New Roman" w:eastAsia="仿宋_GB2312" w:cs="Times New Roman"/>
          <w:sz w:val="32"/>
          <w:szCs w:val="32"/>
        </w:rPr>
        <w:t>支持融资担保体系建设，推进中小企业“应急转贷”、“苏陕协作新农担”业务，落实创业担保贷款财政贴息，充分发挥财政资金的引领和杠杆作用，缓解中小企业融资难融资贵问题。积极推进政府和社会资本合作（PPP）。勉县城市西片区旅游基础设施项目已开工建设，实验小学迁建项目已经财政部批准入库。</w:t>
      </w:r>
      <w:r>
        <w:rPr>
          <w:rFonts w:ascii="Times New Roman" w:hAnsi="Times New Roman" w:eastAsia="仿宋_GB2312" w:cs="Times New Roman"/>
          <w:b/>
          <w:bCs/>
          <w:sz w:val="32"/>
          <w:szCs w:val="32"/>
        </w:rPr>
        <w:t>四是支持高质量发展。</w:t>
      </w:r>
      <w:r>
        <w:rPr>
          <w:rFonts w:ascii="Times New Roman" w:hAnsi="Times New Roman" w:eastAsia="仿宋_GB2312" w:cs="Times New Roman"/>
          <w:sz w:val="32"/>
          <w:szCs w:val="32"/>
        </w:rPr>
        <w:t>落实纳税大户、四上企业培育、产业提质增效等奖励资金，激励骨干企业转型升级高质量发展；落实1100余万元</w:t>
      </w:r>
      <w:r>
        <w:rPr>
          <w:rFonts w:ascii="Times New Roman" w:hAnsi="Times New Roman" w:eastAsia="仿宋_GB2312" w:cs="Times New Roman"/>
          <w:spacing w:val="-3"/>
          <w:sz w:val="32"/>
          <w:szCs w:val="32"/>
        </w:rPr>
        <w:t>支持园区完善基础设施和服务功能，提升园区承载力和吸附力；加大招商引资投入，支持重点产业、重点项目储备和落地实施。</w:t>
      </w:r>
    </w:p>
    <w:p>
      <w:pPr>
        <w:snapToGrid/>
        <w:spacing w:line="600" w:lineRule="exact"/>
        <w:ind w:firstLine="635" w:firstLineChars="200"/>
        <w:jc w:val="both"/>
        <w:rPr>
          <w:rFonts w:ascii="Times New Roman" w:hAnsi="Times New Roman" w:eastAsia="仿宋_GB2312" w:cs="Times New Roman"/>
          <w:spacing w:val="-2"/>
          <w:sz w:val="32"/>
          <w:szCs w:val="32"/>
        </w:rPr>
      </w:pPr>
      <w:r>
        <w:rPr>
          <w:rFonts w:hint="eastAsia" w:ascii="仿宋_GB2312" w:hAnsi="Times New Roman" w:eastAsia="仿宋_GB2312" w:cs="Times New Roman"/>
          <w:b/>
          <w:spacing w:val="-2"/>
          <w:sz w:val="32"/>
          <w:szCs w:val="32"/>
        </w:rPr>
        <w:t>（五）财政改革扎实推进。</w:t>
      </w:r>
      <w:r>
        <w:rPr>
          <w:rFonts w:ascii="Times New Roman" w:hAnsi="Times New Roman" w:eastAsia="仿宋_GB2312" w:cs="Times New Roman"/>
          <w:b/>
          <w:bCs/>
          <w:sz w:val="32"/>
          <w:szCs w:val="32"/>
        </w:rPr>
        <w:t>一是全面实施预算绩效管理。</w:t>
      </w:r>
      <w:r>
        <w:rPr>
          <w:rFonts w:ascii="Times New Roman" w:hAnsi="Times New Roman" w:eastAsia="仿宋" w:cs="Times New Roman"/>
          <w:sz w:val="32"/>
          <w:szCs w:val="32"/>
        </w:rPr>
        <w:t>研究出台了《关于全面实施预算绩效管理的实施意见》，明确了建立全方位、全过程、全覆盖的预算绩效管理体系，在预算编制下达环节增加绩效目标审核，并不断扩大项目支出绩效评价和部门整体支出绩效评价范围，扶贫及涉农项目资金绩效自评做到了全覆盖。</w:t>
      </w:r>
      <w:r>
        <w:rPr>
          <w:rFonts w:ascii="Times New Roman" w:hAnsi="Times New Roman" w:eastAsia="仿宋_GB2312" w:cs="Times New Roman"/>
          <w:b/>
          <w:bCs/>
          <w:spacing w:val="-2"/>
          <w:sz w:val="32"/>
          <w:szCs w:val="32"/>
        </w:rPr>
        <w:t>二是持续做好预决算公开。</w:t>
      </w:r>
      <w:r>
        <w:rPr>
          <w:rFonts w:ascii="Times New Roman" w:hAnsi="Times New Roman" w:eastAsia="仿宋_GB2312" w:cs="Times New Roman"/>
          <w:sz w:val="32"/>
          <w:szCs w:val="32"/>
        </w:rPr>
        <w:t>按要求及时公开了政府预决算、预算执行情况、民生政策、扶贫资金分配下达、债券资金使用等信息；组织部门开展预决算信息公开专题培训，指导全县65个部门全面、规范、真实、准确地公开2019年部门预算和2018年部门决算信息，扎实开展预决算公开交叉检查，强化考核检查结果的运用，部门预决算信息公开的质量和水平得到显著提升。</w:t>
      </w:r>
      <w:r>
        <w:rPr>
          <w:rFonts w:ascii="Times New Roman" w:hAnsi="Times New Roman" w:eastAsia="仿宋_GB2312" w:cs="Times New Roman"/>
          <w:b/>
          <w:bCs/>
          <w:sz w:val="32"/>
          <w:szCs w:val="32"/>
        </w:rPr>
        <w:t>三</w:t>
      </w:r>
      <w:r>
        <w:rPr>
          <w:rFonts w:ascii="Times New Roman" w:hAnsi="Times New Roman" w:eastAsia="仿宋_GB2312" w:cs="Times New Roman"/>
          <w:b/>
          <w:sz w:val="32"/>
          <w:szCs w:val="32"/>
        </w:rPr>
        <w:t>是加快财政信息化建设</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积极推进“财政云”建设，</w:t>
      </w:r>
      <w:r>
        <w:rPr>
          <w:rFonts w:ascii="Times New Roman" w:hAnsi="Times New Roman" w:eastAsia="仿宋_GB2312" w:cs="Times New Roman"/>
          <w:spacing w:val="-2"/>
          <w:sz w:val="32"/>
          <w:szCs w:val="32"/>
        </w:rPr>
        <w:t>开展了对全县预算单位的培训，完成了财政云预算编制工作，</w:t>
      </w:r>
      <w:r>
        <w:rPr>
          <w:rFonts w:ascii="Times New Roman" w:hAnsi="Times New Roman" w:eastAsia="仿宋_GB2312" w:cs="Times New Roman"/>
          <w:sz w:val="32"/>
          <w:szCs w:val="32"/>
        </w:rPr>
        <w:t>核心系统于</w:t>
      </w:r>
      <w:r>
        <w:rPr>
          <w:rFonts w:ascii="Times New Roman" w:hAnsi="Times New Roman" w:eastAsia="仿宋_GB2312" w:cs="Times New Roman"/>
          <w:spacing w:val="-2"/>
          <w:sz w:val="32"/>
          <w:szCs w:val="32"/>
        </w:rPr>
        <w:t>2020年1月1日正式推广应用；推进电子化政府采购，</w:t>
      </w:r>
      <w:r>
        <w:rPr>
          <w:rFonts w:ascii="Times New Roman" w:hAnsi="Times New Roman" w:eastAsia="仿宋_GB2312" w:cs="Times New Roman"/>
          <w:sz w:val="32"/>
          <w:szCs w:val="32"/>
        </w:rPr>
        <w:t>政府采购管理系统二期顺利上线运行。</w:t>
      </w:r>
      <w:r>
        <w:rPr>
          <w:rFonts w:ascii="Times New Roman" w:hAnsi="Times New Roman" w:eastAsia="仿宋_GB2312" w:cs="Times New Roman"/>
          <w:b/>
          <w:sz w:val="32"/>
          <w:szCs w:val="32"/>
        </w:rPr>
        <w:t>四是</w:t>
      </w:r>
      <w:r>
        <w:rPr>
          <w:rFonts w:ascii="Times New Roman" w:hAnsi="Times New Roman" w:eastAsia="仿宋_GB2312" w:cs="Times New Roman"/>
          <w:b/>
          <w:bCs/>
          <w:spacing w:val="-2"/>
          <w:sz w:val="32"/>
          <w:szCs w:val="32"/>
        </w:rPr>
        <w:t>支持人大联网监督工作。</w:t>
      </w:r>
      <w:r>
        <w:rPr>
          <w:rFonts w:ascii="Times New Roman" w:hAnsi="Times New Roman" w:eastAsia="仿宋_GB2312" w:cs="Times New Roman"/>
          <w:sz w:val="32"/>
          <w:szCs w:val="32"/>
        </w:rPr>
        <w:t>积极配合人大做好财政预算联网监督平台建设，及时准确提供</w:t>
      </w:r>
      <w:r>
        <w:rPr>
          <w:rFonts w:ascii="Times New Roman" w:hAnsi="Times New Roman" w:eastAsia="仿宋" w:cs="Times New Roman"/>
          <w:sz w:val="32"/>
          <w:szCs w:val="32"/>
        </w:rPr>
        <w:t>预算编制、预算执行等</w:t>
      </w:r>
      <w:r>
        <w:rPr>
          <w:rFonts w:ascii="Times New Roman" w:hAnsi="Times New Roman" w:eastAsia="仿宋_GB2312" w:cs="Times New Roman"/>
          <w:sz w:val="32"/>
          <w:szCs w:val="32"/>
        </w:rPr>
        <w:t>相关基础资料，主动接受人大对预算编制、预算执行全过程实时监督。</w:t>
      </w:r>
      <w:r>
        <w:rPr>
          <w:rFonts w:ascii="Times New Roman" w:hAnsi="Times New Roman" w:eastAsia="仿宋_GB2312" w:cs="Times New Roman"/>
          <w:b/>
          <w:bCs/>
          <w:spacing w:val="-2"/>
          <w:sz w:val="32"/>
          <w:szCs w:val="32"/>
        </w:rPr>
        <w:t>五是不断夯实管理基础。</w:t>
      </w:r>
      <w:r>
        <w:rPr>
          <w:rFonts w:ascii="Times New Roman" w:hAnsi="Times New Roman" w:eastAsia="仿宋_GB2312" w:cs="Times New Roman"/>
          <w:spacing w:val="-2"/>
          <w:sz w:val="32"/>
          <w:szCs w:val="32"/>
        </w:rPr>
        <w:t>继续抓好国库集中支付、财政投资评审、公务卡制度、政府购买服务、财务管理等基础性管理工作，指导和督促各预算单位加强内控制度建设。</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年我县财政收支任务的顺利完成，财政改革的顺利推进，是县委统揽全局、正确领导的结果，是县人大、县政协及代表委员们监督指导和大力支持的结果，也是各级各部门齐心协力、共同奋斗的结果。同时，</w:t>
      </w:r>
      <w:r>
        <w:rPr>
          <w:rFonts w:ascii="Times New Roman" w:hAnsi="Times New Roman" w:eastAsia="仿宋_GB2312" w:cs="Times New Roman"/>
          <w:kern w:val="2"/>
          <w:sz w:val="32"/>
          <w:szCs w:val="32"/>
        </w:rPr>
        <w:t>我们也清醒地认识到，财政运行还面临一些困难和问题，主要表现在：随着经济增速</w:t>
      </w:r>
      <w:r>
        <w:rPr>
          <w:rFonts w:hint="eastAsia" w:ascii="Times New Roman" w:hAnsi="Times New Roman" w:eastAsia="仿宋_GB2312" w:cs="Times New Roman"/>
          <w:kern w:val="2"/>
          <w:sz w:val="32"/>
          <w:szCs w:val="32"/>
          <w:lang w:val="en-US" w:eastAsia="zh-CN"/>
        </w:rPr>
        <w:t>换挡</w:t>
      </w:r>
      <w:bookmarkStart w:id="0" w:name="_GoBack"/>
      <w:bookmarkEnd w:id="0"/>
      <w:r>
        <w:rPr>
          <w:rFonts w:ascii="Times New Roman" w:hAnsi="Times New Roman" w:eastAsia="仿宋_GB2312" w:cs="Times New Roman"/>
          <w:kern w:val="2"/>
          <w:sz w:val="32"/>
          <w:szCs w:val="32"/>
        </w:rPr>
        <w:t>、结构调整阵痛显现，加上减税降费效应逐步释放等因素影响，财政收入增速放缓；“三保”支出、偿还政府债务支出等增加较多且刚性很强，财政收支平衡压力加大，保工资、保运转、保基本民生面临严峻形势；预算绩效管理处于起步阶段，广度和深度不足；政府隐性债务化解压力较大，财政风险防范的任务依然艰巨等。对此，我们将高度重视，进</w:t>
      </w:r>
      <w:r>
        <w:rPr>
          <w:rFonts w:ascii="Times New Roman" w:hAnsi="Times New Roman" w:eastAsia="仿宋_GB2312" w:cs="Times New Roman"/>
          <w:sz w:val="32"/>
          <w:szCs w:val="32"/>
        </w:rPr>
        <w:t>一步强化问题导向、目标导向，采取有效措施，努力加以解决。</w:t>
      </w:r>
    </w:p>
    <w:p>
      <w:pPr>
        <w:snapToGrid/>
        <w:spacing w:line="600" w:lineRule="exact"/>
        <w:ind w:firstLine="643" w:firstLineChars="200"/>
        <w:jc w:val="both"/>
        <w:rPr>
          <w:rFonts w:ascii="Times New Roman" w:hAnsi="Times New Roman" w:eastAsia="仿宋_GB2312" w:cs="Times New Roman"/>
          <w:b/>
          <w:bCs/>
          <w:sz w:val="32"/>
          <w:szCs w:val="32"/>
        </w:rPr>
      </w:pPr>
    </w:p>
    <w:sectPr>
      <w:footerReference r:id="rId4" w:type="default"/>
      <w:pgSz w:w="11906" w:h="16838"/>
      <w:pgMar w:top="2098" w:right="1474" w:bottom="1757" w:left="1588"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7226"/>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NGNlMjhhZDU2MzMxYmE1NWQzY2ZmY2VlZmI1NzJkYzAifQ=="/>
  </w:docVars>
  <w:rsids>
    <w:rsidRoot w:val="00D31D50"/>
    <w:rsid w:val="000035D0"/>
    <w:rsid w:val="0004008D"/>
    <w:rsid w:val="000A1091"/>
    <w:rsid w:val="000C1EF1"/>
    <w:rsid w:val="00120D9C"/>
    <w:rsid w:val="001330D7"/>
    <w:rsid w:val="00173947"/>
    <w:rsid w:val="001B0C95"/>
    <w:rsid w:val="00203740"/>
    <w:rsid w:val="00205837"/>
    <w:rsid w:val="0020585B"/>
    <w:rsid w:val="00206378"/>
    <w:rsid w:val="00223753"/>
    <w:rsid w:val="002510D3"/>
    <w:rsid w:val="00265174"/>
    <w:rsid w:val="00280D6C"/>
    <w:rsid w:val="00293812"/>
    <w:rsid w:val="002A0C94"/>
    <w:rsid w:val="002A1735"/>
    <w:rsid w:val="002A607D"/>
    <w:rsid w:val="002D582D"/>
    <w:rsid w:val="002E3B2E"/>
    <w:rsid w:val="0030431C"/>
    <w:rsid w:val="003107D7"/>
    <w:rsid w:val="00323B43"/>
    <w:rsid w:val="0033699B"/>
    <w:rsid w:val="00351A99"/>
    <w:rsid w:val="00367ECA"/>
    <w:rsid w:val="0039021D"/>
    <w:rsid w:val="003922D0"/>
    <w:rsid w:val="003B7BC4"/>
    <w:rsid w:val="003D37D8"/>
    <w:rsid w:val="003F29B1"/>
    <w:rsid w:val="003F34FA"/>
    <w:rsid w:val="003F4390"/>
    <w:rsid w:val="00400677"/>
    <w:rsid w:val="00415FF5"/>
    <w:rsid w:val="00426133"/>
    <w:rsid w:val="004315FA"/>
    <w:rsid w:val="004358AB"/>
    <w:rsid w:val="004473B3"/>
    <w:rsid w:val="00462BD0"/>
    <w:rsid w:val="004A56B0"/>
    <w:rsid w:val="004C0D43"/>
    <w:rsid w:val="004C2713"/>
    <w:rsid w:val="004F6B38"/>
    <w:rsid w:val="004F7124"/>
    <w:rsid w:val="00531B8B"/>
    <w:rsid w:val="0054572E"/>
    <w:rsid w:val="00546F24"/>
    <w:rsid w:val="005544CC"/>
    <w:rsid w:val="00566812"/>
    <w:rsid w:val="0058703A"/>
    <w:rsid w:val="005B579A"/>
    <w:rsid w:val="0061163C"/>
    <w:rsid w:val="00613C8B"/>
    <w:rsid w:val="0061526E"/>
    <w:rsid w:val="00670D2D"/>
    <w:rsid w:val="006A4D70"/>
    <w:rsid w:val="006A5F9A"/>
    <w:rsid w:val="006B6AA9"/>
    <w:rsid w:val="006E29C3"/>
    <w:rsid w:val="006F6891"/>
    <w:rsid w:val="00712CB9"/>
    <w:rsid w:val="00716EAB"/>
    <w:rsid w:val="00722CF1"/>
    <w:rsid w:val="00733A64"/>
    <w:rsid w:val="00741547"/>
    <w:rsid w:val="00747A33"/>
    <w:rsid w:val="00792B8E"/>
    <w:rsid w:val="007A2CB3"/>
    <w:rsid w:val="007C3DD2"/>
    <w:rsid w:val="00801CE9"/>
    <w:rsid w:val="00847CD2"/>
    <w:rsid w:val="008629C6"/>
    <w:rsid w:val="00883EC6"/>
    <w:rsid w:val="008928B0"/>
    <w:rsid w:val="00892F95"/>
    <w:rsid w:val="008B7726"/>
    <w:rsid w:val="008F0BEF"/>
    <w:rsid w:val="00902AE9"/>
    <w:rsid w:val="00907459"/>
    <w:rsid w:val="00913642"/>
    <w:rsid w:val="00926717"/>
    <w:rsid w:val="00953421"/>
    <w:rsid w:val="00994BA4"/>
    <w:rsid w:val="00995D5F"/>
    <w:rsid w:val="009B2D6A"/>
    <w:rsid w:val="009E1774"/>
    <w:rsid w:val="00A9279C"/>
    <w:rsid w:val="00AA7309"/>
    <w:rsid w:val="00AB298D"/>
    <w:rsid w:val="00AC5A70"/>
    <w:rsid w:val="00AD2C2B"/>
    <w:rsid w:val="00AE0E79"/>
    <w:rsid w:val="00AE4C80"/>
    <w:rsid w:val="00AF0AB9"/>
    <w:rsid w:val="00B06928"/>
    <w:rsid w:val="00B16939"/>
    <w:rsid w:val="00B27C90"/>
    <w:rsid w:val="00B44967"/>
    <w:rsid w:val="00B47A99"/>
    <w:rsid w:val="00B61986"/>
    <w:rsid w:val="00B64147"/>
    <w:rsid w:val="00B84D9F"/>
    <w:rsid w:val="00BB17AC"/>
    <w:rsid w:val="00BD1C93"/>
    <w:rsid w:val="00BF20BA"/>
    <w:rsid w:val="00C062F3"/>
    <w:rsid w:val="00C10404"/>
    <w:rsid w:val="00C41DC2"/>
    <w:rsid w:val="00C60301"/>
    <w:rsid w:val="00C6146D"/>
    <w:rsid w:val="00CA2057"/>
    <w:rsid w:val="00CA7EDB"/>
    <w:rsid w:val="00CE22E9"/>
    <w:rsid w:val="00D31D50"/>
    <w:rsid w:val="00D33BDC"/>
    <w:rsid w:val="00D4460A"/>
    <w:rsid w:val="00D7192C"/>
    <w:rsid w:val="00D7681B"/>
    <w:rsid w:val="00D92B1C"/>
    <w:rsid w:val="00DA388D"/>
    <w:rsid w:val="00DE1239"/>
    <w:rsid w:val="00DE71F1"/>
    <w:rsid w:val="00E05DB4"/>
    <w:rsid w:val="00E11896"/>
    <w:rsid w:val="00E1240B"/>
    <w:rsid w:val="00E33EA9"/>
    <w:rsid w:val="00E7291B"/>
    <w:rsid w:val="00EA42F6"/>
    <w:rsid w:val="00ED1C3B"/>
    <w:rsid w:val="00F01DEB"/>
    <w:rsid w:val="00F17312"/>
    <w:rsid w:val="00F60A73"/>
    <w:rsid w:val="00FA10C3"/>
    <w:rsid w:val="00FB34A8"/>
    <w:rsid w:val="00FD34CC"/>
    <w:rsid w:val="00FD45E2"/>
    <w:rsid w:val="00FE5059"/>
    <w:rsid w:val="04E27045"/>
    <w:rsid w:val="0ED90279"/>
    <w:rsid w:val="19186145"/>
    <w:rsid w:val="2AE633CF"/>
    <w:rsid w:val="34401DBA"/>
    <w:rsid w:val="669206B9"/>
    <w:rsid w:val="7A69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8">
    <w:name w:val="page number"/>
    <w:basedOn w:val="7"/>
    <w:qFormat/>
    <w:uiPriority w:val="0"/>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 w:type="character" w:customStyle="1" w:styleId="11">
    <w:name w:val="ca-21"/>
    <w:basedOn w:val="7"/>
    <w:qFormat/>
    <w:uiPriority w:val="0"/>
    <w:rPr>
      <w:rFonts w:hint="eastAsia" w:ascii="仿宋_GB2312" w:eastAsia="仿宋_GB2312"/>
      <w:sz w:val="32"/>
      <w:szCs w:val="32"/>
    </w:rPr>
  </w:style>
  <w:style w:type="paragraph" w:customStyle="1" w:styleId="12">
    <w:name w:val="pa-2"/>
    <w:basedOn w:val="1"/>
    <w:qFormat/>
    <w:uiPriority w:val="0"/>
    <w:pPr>
      <w:adjustRightInd/>
      <w:snapToGrid/>
      <w:spacing w:after="0" w:line="360" w:lineRule="atLeast"/>
      <w:ind w:firstLine="640"/>
      <w:jc w:val="both"/>
    </w:pPr>
    <w:rPr>
      <w:rFonts w:ascii="宋体" w:hAnsi="宋体" w:eastAsia="宋体" w:cs="宋体"/>
      <w:sz w:val="24"/>
      <w:szCs w:val="24"/>
    </w:rPr>
  </w:style>
  <w:style w:type="character" w:customStyle="1" w:styleId="13">
    <w:name w:val="批注框文本 Char"/>
    <w:basedOn w:val="7"/>
    <w:link w:val="2"/>
    <w:semiHidden/>
    <w:qFormat/>
    <w:uiPriority w:val="99"/>
    <w:rPr>
      <w:rFonts w:ascii="Tahoma" w:hAnsi="Tahoma"/>
      <w:sz w:val="18"/>
      <w:szCs w:val="18"/>
    </w:rPr>
  </w:style>
  <w:style w:type="paragraph" w:customStyle="1" w:styleId="14">
    <w:name w:val="列出段落1"/>
    <w:basedOn w:val="1"/>
    <w:qFormat/>
    <w:uiPriority w:val="0"/>
    <w:pPr>
      <w:widowControl w:val="0"/>
      <w:adjustRightInd/>
      <w:snapToGrid/>
      <w:spacing w:after="0"/>
      <w:ind w:firstLine="42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5710</Words>
  <Characters>6379</Characters>
  <Lines>45</Lines>
  <Paragraphs>12</Paragraphs>
  <TotalTime>2633</TotalTime>
  <ScaleCrop>false</ScaleCrop>
  <LinksUpToDate>false</LinksUpToDate>
  <CharactersWithSpaces>6403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2018-12-12T08:04:00Z</cp:lastPrinted>
  <dcterms:modified xsi:type="dcterms:W3CDTF">2023-05-16T07:53:03Z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5DB570D7A61A4BA7A423287908CB1084</vt:lpwstr>
  </property>
</Properties>
</file>